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6E6F5C" w14:textId="219D2247" w:rsidR="003522DE" w:rsidRDefault="00E00B9E" w:rsidP="008621E3">
      <w:pPr>
        <w:spacing w:after="0" w:line="288" w:lineRule="auto"/>
        <w:jc w:val="center"/>
        <w:rPr>
          <w:b/>
          <w:bCs/>
        </w:rPr>
      </w:pPr>
      <w:r w:rsidRPr="003522DE">
        <w:rPr>
          <w:b/>
          <w:bCs/>
        </w:rPr>
        <w:t xml:space="preserve">CĂTRE </w:t>
      </w:r>
      <w:r w:rsidR="008621E3" w:rsidRPr="008621E3">
        <w:rPr>
          <w:b/>
          <w:bCs/>
          <w:highlight w:val="yellow"/>
        </w:rPr>
        <w:t>___________________________________</w:t>
      </w:r>
    </w:p>
    <w:p w14:paraId="2CA3158F" w14:textId="77777777" w:rsidR="00AE12EE" w:rsidRDefault="00AE12EE" w:rsidP="008621E3">
      <w:pPr>
        <w:spacing w:after="0" w:line="288" w:lineRule="auto"/>
        <w:jc w:val="center"/>
        <w:rPr>
          <w:b/>
          <w:bCs/>
        </w:rPr>
      </w:pPr>
    </w:p>
    <w:p w14:paraId="5FFC670D" w14:textId="1B569D12" w:rsidR="00852A23" w:rsidRDefault="00852A23" w:rsidP="008621E3">
      <w:pPr>
        <w:spacing w:after="0" w:line="288" w:lineRule="auto"/>
        <w:jc w:val="center"/>
        <w:rPr>
          <w:b/>
          <w:bCs/>
        </w:rPr>
      </w:pPr>
      <w:r>
        <w:rPr>
          <w:b/>
          <w:bCs/>
        </w:rPr>
        <w:t xml:space="preserve">(deputat ales de circumscripția electorală nr. </w:t>
      </w:r>
      <w:r w:rsidRPr="00852A23">
        <w:rPr>
          <w:b/>
          <w:bCs/>
          <w:highlight w:val="yellow"/>
        </w:rPr>
        <w:t>....- ......</w:t>
      </w:r>
      <w:r>
        <w:rPr>
          <w:b/>
          <w:bCs/>
        </w:rPr>
        <w:t>)</w:t>
      </w:r>
    </w:p>
    <w:p w14:paraId="778FF01C" w14:textId="77777777" w:rsidR="00852A23" w:rsidRDefault="00852A23" w:rsidP="008621E3">
      <w:pPr>
        <w:spacing w:after="0" w:line="288" w:lineRule="auto"/>
        <w:jc w:val="center"/>
        <w:rPr>
          <w:b/>
          <w:bCs/>
        </w:rPr>
      </w:pPr>
    </w:p>
    <w:p w14:paraId="2FE3DF7F" w14:textId="77777777" w:rsidR="008621E3" w:rsidRPr="003522DE" w:rsidRDefault="008621E3" w:rsidP="008621E3">
      <w:pPr>
        <w:spacing w:after="0" w:line="288" w:lineRule="auto"/>
        <w:jc w:val="center"/>
        <w:rPr>
          <w:b/>
          <w:bCs/>
        </w:rPr>
      </w:pPr>
    </w:p>
    <w:p w14:paraId="50B9F9F8" w14:textId="15E857D7" w:rsidR="004F2A38" w:rsidRDefault="00852A23" w:rsidP="00111DD5">
      <w:pPr>
        <w:spacing w:after="0" w:line="288" w:lineRule="auto"/>
        <w:jc w:val="both"/>
        <w:rPr>
          <w:b/>
          <w:bCs/>
        </w:rPr>
      </w:pPr>
      <w:r w:rsidRPr="00852A23">
        <w:rPr>
          <w:b/>
          <w:bCs/>
        </w:rPr>
        <w:t>Referitor: PL-x nr. 28/2024, PL-x 34/2024 și PL-x nr. 53/2024</w:t>
      </w:r>
    </w:p>
    <w:p w14:paraId="3002C52E" w14:textId="77777777" w:rsidR="00852A23" w:rsidRPr="00852A23" w:rsidRDefault="00852A23" w:rsidP="00111DD5">
      <w:pPr>
        <w:spacing w:after="0" w:line="288" w:lineRule="auto"/>
        <w:jc w:val="both"/>
        <w:rPr>
          <w:b/>
          <w:bCs/>
        </w:rPr>
      </w:pPr>
    </w:p>
    <w:p w14:paraId="6330978F" w14:textId="64D48438" w:rsidR="007C0A0D" w:rsidRDefault="007C0A0D" w:rsidP="00111DD5">
      <w:pPr>
        <w:spacing w:after="0" w:line="288" w:lineRule="auto"/>
        <w:jc w:val="both"/>
      </w:pPr>
    </w:p>
    <w:p w14:paraId="25E4368A" w14:textId="77777777" w:rsidR="00AE12EE" w:rsidRDefault="00AE12EE" w:rsidP="007E5328">
      <w:pPr>
        <w:spacing w:after="0" w:line="288" w:lineRule="auto"/>
        <w:ind w:firstLine="708"/>
        <w:jc w:val="both"/>
        <w:rPr>
          <w:b/>
          <w:bCs/>
        </w:rPr>
      </w:pPr>
    </w:p>
    <w:p w14:paraId="44615A33" w14:textId="2150B851" w:rsidR="003522DE" w:rsidRDefault="007C0A0D" w:rsidP="007E5328">
      <w:pPr>
        <w:spacing w:after="0" w:line="288" w:lineRule="auto"/>
        <w:ind w:firstLine="708"/>
        <w:jc w:val="both"/>
      </w:pPr>
      <w:r w:rsidRPr="003522DE">
        <w:rPr>
          <w:b/>
          <w:bCs/>
        </w:rPr>
        <w:t xml:space="preserve">Subsemnatul (a) </w:t>
      </w:r>
      <w:r w:rsidRPr="003522DE">
        <w:rPr>
          <w:b/>
          <w:bCs/>
          <w:highlight w:val="yellow"/>
        </w:rPr>
        <w:t>.................</w:t>
      </w:r>
      <w:r w:rsidR="008E1053" w:rsidRPr="003522DE">
        <w:rPr>
          <w:b/>
          <w:bCs/>
          <w:highlight w:val="yellow"/>
        </w:rPr>
        <w:t>..,</w:t>
      </w:r>
      <w:r w:rsidR="00554DA2">
        <w:t xml:space="preserve"> CNP</w:t>
      </w:r>
      <w:r w:rsidR="008E1053">
        <w:t xml:space="preserve"> </w:t>
      </w:r>
      <w:r w:rsidR="00554DA2" w:rsidRPr="003522DE">
        <w:rPr>
          <w:highlight w:val="yellow"/>
        </w:rPr>
        <w:t>.........,</w:t>
      </w:r>
      <w:r w:rsidR="00554DA2">
        <w:t xml:space="preserve"> </w:t>
      </w:r>
      <w:r w:rsidR="008E1053">
        <w:t xml:space="preserve">domiciliat în </w:t>
      </w:r>
      <w:r w:rsidR="008E1053" w:rsidRPr="003522DE">
        <w:rPr>
          <w:highlight w:val="yellow"/>
        </w:rPr>
        <w:t>........</w:t>
      </w:r>
      <w:r w:rsidR="00554DA2" w:rsidRPr="003522DE">
        <w:rPr>
          <w:highlight w:val="yellow"/>
        </w:rPr>
        <w:t>,</w:t>
      </w:r>
      <w:r w:rsidR="008E1053">
        <w:t xml:space="preserve"> str. </w:t>
      </w:r>
      <w:r w:rsidR="008E1053" w:rsidRPr="003522DE">
        <w:rPr>
          <w:highlight w:val="yellow"/>
        </w:rPr>
        <w:t>......,</w:t>
      </w:r>
      <w:r w:rsidR="008E1053">
        <w:t xml:space="preserve"> nr</w:t>
      </w:r>
      <w:r w:rsidR="008E1053" w:rsidRPr="003522DE">
        <w:rPr>
          <w:highlight w:val="yellow"/>
        </w:rPr>
        <w:t>......,</w:t>
      </w:r>
      <w:r w:rsidR="008E1053">
        <w:t xml:space="preserve"> </w:t>
      </w:r>
      <w:r w:rsidR="00947282">
        <w:t xml:space="preserve">posesor al </w:t>
      </w:r>
      <w:r w:rsidR="00701FD9">
        <w:t xml:space="preserve"> CI seria </w:t>
      </w:r>
      <w:r w:rsidR="00701FD9" w:rsidRPr="003522DE">
        <w:rPr>
          <w:highlight w:val="yellow"/>
        </w:rPr>
        <w:t>......,</w:t>
      </w:r>
      <w:r w:rsidR="00701FD9">
        <w:t xml:space="preserve"> nr. </w:t>
      </w:r>
      <w:r w:rsidR="00701FD9" w:rsidRPr="003522DE">
        <w:rPr>
          <w:highlight w:val="yellow"/>
        </w:rPr>
        <w:t>....</w:t>
      </w:r>
      <w:r w:rsidR="003522DE" w:rsidRPr="003522DE">
        <w:rPr>
          <w:highlight w:val="yellow"/>
        </w:rPr>
        <w:t>...</w:t>
      </w:r>
      <w:r w:rsidR="00AE12EE">
        <w:t xml:space="preserve">, </w:t>
      </w:r>
    </w:p>
    <w:p w14:paraId="6C03004D" w14:textId="77777777" w:rsidR="003522DE" w:rsidRDefault="003522DE" w:rsidP="00111DD5">
      <w:pPr>
        <w:spacing w:after="0" w:line="288" w:lineRule="auto"/>
        <w:jc w:val="both"/>
      </w:pPr>
    </w:p>
    <w:p w14:paraId="587D7499" w14:textId="77777777" w:rsidR="003522DE" w:rsidRDefault="003522DE" w:rsidP="007E5328">
      <w:pPr>
        <w:spacing w:after="0" w:line="288" w:lineRule="auto"/>
        <w:ind w:firstLine="708"/>
        <w:jc w:val="both"/>
      </w:pPr>
      <w:r>
        <w:t>Având în vedere faptul că:</w:t>
      </w:r>
    </w:p>
    <w:p w14:paraId="139E3AF8" w14:textId="5303F8C7" w:rsidR="003522DE" w:rsidRDefault="003522DE" w:rsidP="00852A23">
      <w:pPr>
        <w:spacing w:after="0" w:line="288" w:lineRule="auto"/>
        <w:ind w:firstLine="708"/>
        <w:jc w:val="both"/>
      </w:pPr>
      <w:r>
        <w:t xml:space="preserve">-  în Camera Deputaților, cameră decizională, se află mai multe proiecte de lege care au un impact covârșitor asupra cetățenilor români, </w:t>
      </w:r>
      <w:r w:rsidR="00111DD5">
        <w:t xml:space="preserve">drepturilor și libertăților acestora, precum și a statului de drept și democrației în România, </w:t>
      </w:r>
    </w:p>
    <w:p w14:paraId="2668BA13" w14:textId="70054674" w:rsidR="00852A23" w:rsidRDefault="00852A23" w:rsidP="00852A23">
      <w:pPr>
        <w:spacing w:after="0" w:line="288" w:lineRule="auto"/>
        <w:ind w:firstLine="708"/>
        <w:jc w:val="both"/>
      </w:pPr>
      <w:r>
        <w:t xml:space="preserve">- sunt cetățean român cu domiciliul în circumscripția electorală în care ați candidat și ați fost ales ca deputat în anul 2020, </w:t>
      </w:r>
    </w:p>
    <w:p w14:paraId="7F8B943C" w14:textId="4A6DBE70" w:rsidR="00852A23" w:rsidRDefault="00852A23" w:rsidP="00852A23">
      <w:pPr>
        <w:spacing w:after="0" w:line="288" w:lineRule="auto"/>
        <w:ind w:firstLine="708"/>
        <w:jc w:val="both"/>
      </w:pPr>
      <w:r>
        <w:t>- principiile care guvernează exercitarea mandatului de deputat, reglementate de Legea nr. 96/2006 privind statutul deputaților și senatorilor</w:t>
      </w:r>
      <w:r>
        <w:rPr>
          <w:rStyle w:val="Referinnotdesubsol"/>
        </w:rPr>
        <w:footnoteReference w:id="1"/>
      </w:r>
      <w:r>
        <w:t xml:space="preserve">, </w:t>
      </w:r>
    </w:p>
    <w:p w14:paraId="28D52203" w14:textId="77777777" w:rsidR="00852A23" w:rsidRDefault="00852A23" w:rsidP="00852A23">
      <w:pPr>
        <w:spacing w:after="0" w:line="288" w:lineRule="auto"/>
        <w:ind w:firstLine="708"/>
        <w:jc w:val="both"/>
      </w:pPr>
    </w:p>
    <w:p w14:paraId="4A2E8130" w14:textId="59679124" w:rsidR="00111DD5" w:rsidRDefault="003522DE" w:rsidP="00852A23">
      <w:pPr>
        <w:spacing w:after="0" w:line="288" w:lineRule="auto"/>
        <w:ind w:firstLine="708"/>
        <w:jc w:val="both"/>
        <w:rPr>
          <w:b/>
          <w:bCs/>
        </w:rPr>
      </w:pPr>
      <w:r>
        <w:rPr>
          <w:b/>
          <w:bCs/>
        </w:rPr>
        <w:t>Prin prezenta</w:t>
      </w:r>
      <w:r w:rsidR="00852A23">
        <w:rPr>
          <w:b/>
          <w:bCs/>
        </w:rPr>
        <w:t xml:space="preserve">, </w:t>
      </w:r>
      <w:r w:rsidR="00070BD2">
        <w:rPr>
          <w:b/>
          <w:bCs/>
        </w:rPr>
        <w:t xml:space="preserve">în calitate de cetățean al României și alegător, </w:t>
      </w:r>
      <w:r w:rsidR="00852A23">
        <w:rPr>
          <w:b/>
          <w:bCs/>
        </w:rPr>
        <w:t xml:space="preserve">vă solicit să vă exprimați votul cu privire </w:t>
      </w:r>
      <w:r w:rsidR="00AE12EE">
        <w:rPr>
          <w:b/>
          <w:bCs/>
        </w:rPr>
        <w:t xml:space="preserve">la </w:t>
      </w:r>
      <w:r w:rsidR="00070BD2">
        <w:rPr>
          <w:b/>
          <w:bCs/>
        </w:rPr>
        <w:t xml:space="preserve"> </w:t>
      </w:r>
      <w:r w:rsidR="00AE12EE" w:rsidRPr="00852A23">
        <w:rPr>
          <w:b/>
          <w:bCs/>
        </w:rPr>
        <w:t>PL-x nr. 28/2024, PL-x 34/2024 și PL-x nr. 53/2024</w:t>
      </w:r>
      <w:r w:rsidR="00AE12EE">
        <w:rPr>
          <w:b/>
          <w:bCs/>
        </w:rPr>
        <w:t xml:space="preserve"> </w:t>
      </w:r>
      <w:r w:rsidR="00070BD2">
        <w:rPr>
          <w:b/>
          <w:bCs/>
        </w:rPr>
        <w:t xml:space="preserve">astfel: </w:t>
      </w:r>
    </w:p>
    <w:p w14:paraId="6655E301" w14:textId="10CDF43D" w:rsidR="00070BD2" w:rsidRPr="00070BD2" w:rsidRDefault="00070BD2" w:rsidP="00070BD2">
      <w:pPr>
        <w:pStyle w:val="Listparagraf"/>
        <w:numPr>
          <w:ilvl w:val="1"/>
          <w:numId w:val="5"/>
        </w:numPr>
        <w:spacing w:after="0" w:line="288" w:lineRule="auto"/>
        <w:jc w:val="both"/>
        <w:rPr>
          <w:b/>
          <w:bCs/>
        </w:rPr>
      </w:pPr>
      <w:r>
        <w:rPr>
          <w:b/>
          <w:bCs/>
        </w:rPr>
        <w:lastRenderedPageBreak/>
        <w:t xml:space="preserve">Să </w:t>
      </w:r>
      <w:r w:rsidR="00AE12EE">
        <w:rPr>
          <w:b/>
          <w:bCs/>
        </w:rPr>
        <w:t>votați</w:t>
      </w:r>
      <w:r>
        <w:rPr>
          <w:b/>
          <w:bCs/>
        </w:rPr>
        <w:t xml:space="preserve"> </w:t>
      </w:r>
      <w:r w:rsidRPr="007C6870">
        <w:rPr>
          <w:b/>
          <w:bCs/>
          <w:u w:val="single"/>
        </w:rPr>
        <w:t>ÎMPOTRIVA</w:t>
      </w:r>
      <w:r>
        <w:rPr>
          <w:b/>
          <w:bCs/>
        </w:rPr>
        <w:t xml:space="preserve"> proiectului de lege </w:t>
      </w:r>
      <w:r w:rsidRPr="007C6870">
        <w:rPr>
          <w:b/>
          <w:bCs/>
          <w:u w:val="single"/>
        </w:rPr>
        <w:t>PL-x nr. 28/2024</w:t>
      </w:r>
      <w:r>
        <w:rPr>
          <w:b/>
          <w:bCs/>
        </w:rPr>
        <w:t xml:space="preserve"> </w:t>
      </w:r>
      <w:r w:rsidRPr="00070BD2">
        <w:rPr>
          <w:b/>
          <w:bCs/>
          <w:i/>
          <w:iCs/>
        </w:rPr>
        <w:t>(Proiect de Lege pentru aprobarea Ordonanței de urgen</w:t>
      </w:r>
      <w:r>
        <w:rPr>
          <w:b/>
          <w:bCs/>
          <w:i/>
          <w:iCs/>
        </w:rPr>
        <w:t>ță</w:t>
      </w:r>
      <w:r w:rsidRPr="00070BD2">
        <w:rPr>
          <w:b/>
          <w:bCs/>
          <w:i/>
          <w:iCs/>
        </w:rPr>
        <w:t xml:space="preserve"> a Guvernului nr.109/2023 privind înființarea, dezvoltarea </w:t>
      </w:r>
      <w:proofErr w:type="spellStart"/>
      <w:r w:rsidRPr="00070BD2">
        <w:rPr>
          <w:b/>
          <w:bCs/>
          <w:i/>
          <w:iCs/>
        </w:rPr>
        <w:t>şi</w:t>
      </w:r>
      <w:proofErr w:type="spellEnd"/>
      <w:r w:rsidRPr="00070BD2">
        <w:rPr>
          <w:b/>
          <w:bCs/>
          <w:i/>
          <w:iCs/>
        </w:rPr>
        <w:t xml:space="preserve"> administrarea unui hub financiar la nivelul Ministerului Finanțelor)</w:t>
      </w:r>
      <w:r>
        <w:rPr>
          <w:b/>
          <w:bCs/>
          <w:i/>
          <w:iCs/>
        </w:rPr>
        <w:t>;</w:t>
      </w:r>
    </w:p>
    <w:p w14:paraId="1AFAF33D" w14:textId="1A195EF6" w:rsidR="00070BD2" w:rsidRDefault="00070BD2" w:rsidP="00070BD2">
      <w:pPr>
        <w:pStyle w:val="Listparagraf"/>
        <w:numPr>
          <w:ilvl w:val="1"/>
          <w:numId w:val="5"/>
        </w:numPr>
        <w:spacing w:after="0" w:line="288" w:lineRule="auto"/>
        <w:jc w:val="both"/>
        <w:rPr>
          <w:b/>
          <w:bCs/>
          <w:i/>
          <w:iCs/>
        </w:rPr>
      </w:pPr>
      <w:r w:rsidRPr="00070BD2">
        <w:rPr>
          <w:b/>
          <w:bCs/>
        </w:rPr>
        <w:t xml:space="preserve">Să </w:t>
      </w:r>
      <w:r w:rsidR="00AE12EE">
        <w:rPr>
          <w:b/>
          <w:bCs/>
        </w:rPr>
        <w:t>votați</w:t>
      </w:r>
      <w:r w:rsidRPr="00070BD2">
        <w:rPr>
          <w:b/>
          <w:bCs/>
        </w:rPr>
        <w:t xml:space="preserve"> </w:t>
      </w:r>
      <w:r w:rsidRPr="007C6870">
        <w:rPr>
          <w:b/>
          <w:bCs/>
          <w:u w:val="single"/>
        </w:rPr>
        <w:t>ÎMPOTRIVA</w:t>
      </w:r>
      <w:r w:rsidRPr="00070BD2">
        <w:rPr>
          <w:b/>
          <w:bCs/>
        </w:rPr>
        <w:t xml:space="preserve"> proiectului de lege </w:t>
      </w:r>
      <w:r w:rsidRPr="007C6870">
        <w:rPr>
          <w:b/>
          <w:bCs/>
          <w:u w:val="single"/>
        </w:rPr>
        <w:t xml:space="preserve">PL-x nr. </w:t>
      </w:r>
      <w:bookmarkStart w:id="0" w:name="_Hlk166165108"/>
      <w:r w:rsidRPr="007C6870">
        <w:rPr>
          <w:b/>
          <w:bCs/>
          <w:u w:val="single"/>
        </w:rPr>
        <w:t>34/2024</w:t>
      </w:r>
      <w:r w:rsidRPr="00070BD2">
        <w:rPr>
          <w:b/>
          <w:bCs/>
        </w:rPr>
        <w:t xml:space="preserve"> </w:t>
      </w:r>
      <w:r w:rsidRPr="00070BD2">
        <w:rPr>
          <w:b/>
          <w:bCs/>
          <w:i/>
          <w:iCs/>
        </w:rPr>
        <w:t xml:space="preserve">(Proiect de Lege pentru aprobarea </w:t>
      </w:r>
      <w:proofErr w:type="spellStart"/>
      <w:r w:rsidRPr="00070BD2">
        <w:rPr>
          <w:b/>
          <w:bCs/>
          <w:i/>
          <w:iCs/>
        </w:rPr>
        <w:t>Ordonanţei</w:t>
      </w:r>
      <w:proofErr w:type="spellEnd"/>
      <w:r w:rsidRPr="00070BD2">
        <w:rPr>
          <w:b/>
          <w:bCs/>
          <w:i/>
          <w:iCs/>
        </w:rPr>
        <w:t xml:space="preserve"> de </w:t>
      </w:r>
      <w:proofErr w:type="spellStart"/>
      <w:r w:rsidRPr="00070BD2">
        <w:rPr>
          <w:b/>
          <w:bCs/>
          <w:i/>
          <w:iCs/>
        </w:rPr>
        <w:t>urgenţã</w:t>
      </w:r>
      <w:proofErr w:type="spellEnd"/>
      <w:r w:rsidRPr="00070BD2">
        <w:rPr>
          <w:b/>
          <w:bCs/>
          <w:i/>
          <w:iCs/>
        </w:rPr>
        <w:t xml:space="preserve"> a Guvernului nr.116/2023 privind unele măsuri pentru gestionarea </w:t>
      </w:r>
      <w:proofErr w:type="spellStart"/>
      <w:r w:rsidRPr="00070BD2">
        <w:rPr>
          <w:b/>
          <w:bCs/>
          <w:i/>
          <w:iCs/>
        </w:rPr>
        <w:t>şi</w:t>
      </w:r>
      <w:proofErr w:type="spellEnd"/>
      <w:r w:rsidRPr="00070BD2">
        <w:rPr>
          <w:b/>
          <w:bCs/>
          <w:i/>
          <w:iCs/>
        </w:rPr>
        <w:t xml:space="preserve"> </w:t>
      </w:r>
      <w:proofErr w:type="spellStart"/>
      <w:r w:rsidRPr="00070BD2">
        <w:rPr>
          <w:b/>
          <w:bCs/>
          <w:i/>
          <w:iCs/>
        </w:rPr>
        <w:t>evidenţierea</w:t>
      </w:r>
      <w:proofErr w:type="spellEnd"/>
      <w:r w:rsidRPr="00070BD2">
        <w:rPr>
          <w:b/>
          <w:bCs/>
          <w:i/>
          <w:iCs/>
        </w:rPr>
        <w:t xml:space="preserve"> veniturilor curente ale bugetului public prin implementarea unor proiecte de digitalizare)</w:t>
      </w:r>
      <w:r>
        <w:rPr>
          <w:b/>
          <w:bCs/>
          <w:i/>
          <w:iCs/>
        </w:rPr>
        <w:t>;</w:t>
      </w:r>
    </w:p>
    <w:bookmarkEnd w:id="0"/>
    <w:p w14:paraId="72E07F2A" w14:textId="3BA37E1D" w:rsidR="00070BD2" w:rsidRDefault="00070BD2" w:rsidP="00070BD2">
      <w:pPr>
        <w:pStyle w:val="Listparagraf"/>
        <w:numPr>
          <w:ilvl w:val="1"/>
          <w:numId w:val="5"/>
        </w:numPr>
        <w:spacing w:after="0" w:line="288" w:lineRule="auto"/>
        <w:jc w:val="both"/>
        <w:rPr>
          <w:b/>
          <w:bCs/>
          <w:i/>
          <w:iCs/>
        </w:rPr>
      </w:pPr>
      <w:r w:rsidRPr="00070BD2">
        <w:rPr>
          <w:b/>
          <w:bCs/>
        </w:rPr>
        <w:t xml:space="preserve">Să </w:t>
      </w:r>
      <w:r w:rsidR="00AE12EE">
        <w:rPr>
          <w:b/>
          <w:bCs/>
        </w:rPr>
        <w:t>votați</w:t>
      </w:r>
      <w:r w:rsidRPr="00070BD2">
        <w:rPr>
          <w:b/>
          <w:bCs/>
        </w:rPr>
        <w:t xml:space="preserve"> </w:t>
      </w:r>
      <w:r w:rsidRPr="007C6870">
        <w:rPr>
          <w:b/>
          <w:bCs/>
          <w:u w:val="single"/>
        </w:rPr>
        <w:t>PENTRU</w:t>
      </w:r>
      <w:r w:rsidRPr="00070BD2">
        <w:rPr>
          <w:b/>
          <w:bCs/>
        </w:rPr>
        <w:t xml:space="preserve"> proiectul de lege </w:t>
      </w:r>
      <w:proofErr w:type="spellStart"/>
      <w:r w:rsidRPr="007C6870">
        <w:rPr>
          <w:b/>
          <w:bCs/>
          <w:u w:val="single"/>
        </w:rPr>
        <w:t>Pl</w:t>
      </w:r>
      <w:proofErr w:type="spellEnd"/>
      <w:r w:rsidRPr="007C6870">
        <w:rPr>
          <w:b/>
          <w:bCs/>
          <w:u w:val="single"/>
        </w:rPr>
        <w:t>-x nr. 53/2024</w:t>
      </w:r>
      <w:r w:rsidRPr="00070BD2">
        <w:rPr>
          <w:b/>
          <w:bCs/>
          <w:i/>
          <w:iCs/>
        </w:rPr>
        <w:t xml:space="preserve"> (Propunere legislativă pentru asigurarea dreptului de a plăti cu numerar pe teritoriul României prin abrogarea Legii nr.70/2015)</w:t>
      </w:r>
      <w:r>
        <w:rPr>
          <w:b/>
          <w:bCs/>
          <w:i/>
          <w:iCs/>
        </w:rPr>
        <w:t xml:space="preserve">, </w:t>
      </w:r>
    </w:p>
    <w:p w14:paraId="5ABC75A7" w14:textId="77777777" w:rsidR="00070BD2" w:rsidRDefault="00070BD2" w:rsidP="00070BD2">
      <w:pPr>
        <w:spacing w:after="0" w:line="288" w:lineRule="auto"/>
        <w:jc w:val="both"/>
        <w:rPr>
          <w:b/>
          <w:bCs/>
          <w:i/>
          <w:iCs/>
        </w:rPr>
      </w:pPr>
    </w:p>
    <w:p w14:paraId="48778762" w14:textId="312ECED8" w:rsidR="00070BD2" w:rsidRDefault="00070BD2" w:rsidP="00070BD2">
      <w:pPr>
        <w:spacing w:after="0" w:line="288" w:lineRule="auto"/>
        <w:ind w:left="708"/>
        <w:jc w:val="both"/>
        <w:rPr>
          <w:b/>
          <w:bCs/>
        </w:rPr>
      </w:pPr>
      <w:r>
        <w:rPr>
          <w:b/>
          <w:bCs/>
        </w:rPr>
        <w:t xml:space="preserve">Motivat de următoarele argumente: </w:t>
      </w:r>
    </w:p>
    <w:p w14:paraId="0CC0347D" w14:textId="77777777" w:rsidR="00070BD2" w:rsidRDefault="00070BD2" w:rsidP="00070BD2">
      <w:pPr>
        <w:spacing w:after="0" w:line="288" w:lineRule="auto"/>
        <w:ind w:left="708"/>
        <w:jc w:val="both"/>
        <w:rPr>
          <w:b/>
          <w:bCs/>
        </w:rPr>
      </w:pPr>
    </w:p>
    <w:p w14:paraId="2E65A4FA" w14:textId="77777777" w:rsidR="00AE12EE" w:rsidRPr="002D4978" w:rsidRDefault="00AE12EE" w:rsidP="00AE12EE">
      <w:pPr>
        <w:pStyle w:val="Listparagraf"/>
        <w:numPr>
          <w:ilvl w:val="2"/>
          <w:numId w:val="5"/>
        </w:numPr>
        <w:spacing w:after="0" w:line="288" w:lineRule="auto"/>
        <w:ind w:left="426" w:hanging="426"/>
        <w:jc w:val="both"/>
        <w:rPr>
          <w:b/>
          <w:bCs/>
          <w:sz w:val="23"/>
          <w:szCs w:val="23"/>
        </w:rPr>
      </w:pPr>
      <w:r w:rsidRPr="002D4978">
        <w:rPr>
          <w:b/>
          <w:bCs/>
          <w:sz w:val="23"/>
          <w:szCs w:val="23"/>
        </w:rPr>
        <w:t xml:space="preserve">Referitor la </w:t>
      </w:r>
      <w:r w:rsidRPr="002D4978">
        <w:rPr>
          <w:b/>
          <w:bCs/>
          <w:sz w:val="23"/>
          <w:szCs w:val="23"/>
          <w:u w:val="single"/>
        </w:rPr>
        <w:t>PL-x nr. 28/2024</w:t>
      </w:r>
      <w:r w:rsidRPr="002D4978">
        <w:rPr>
          <w:b/>
          <w:bCs/>
          <w:sz w:val="23"/>
          <w:szCs w:val="23"/>
        </w:rPr>
        <w:t xml:space="preserve"> </w:t>
      </w:r>
      <w:r w:rsidRPr="002D4978">
        <w:rPr>
          <w:b/>
          <w:bCs/>
          <w:i/>
          <w:iCs/>
          <w:sz w:val="23"/>
          <w:szCs w:val="23"/>
        </w:rPr>
        <w:t>(</w:t>
      </w:r>
      <w:r w:rsidRPr="002D4978">
        <w:rPr>
          <w:sz w:val="23"/>
          <w:szCs w:val="23"/>
        </w:rPr>
        <w:t xml:space="preserve">Proiect de Lege pentru aprobarea Ordonanței de urgență a Guvernului nr.109/2023 privind înființarea, dezvoltarea </w:t>
      </w:r>
      <w:proofErr w:type="spellStart"/>
      <w:r w:rsidRPr="002D4978">
        <w:rPr>
          <w:sz w:val="23"/>
          <w:szCs w:val="23"/>
        </w:rPr>
        <w:t>şi</w:t>
      </w:r>
      <w:proofErr w:type="spellEnd"/>
      <w:r w:rsidRPr="002D4978">
        <w:rPr>
          <w:sz w:val="23"/>
          <w:szCs w:val="23"/>
        </w:rPr>
        <w:t xml:space="preserve"> administrarea unui hub financiar la nivelul Ministerului Finanțelor</w:t>
      </w:r>
      <w:r w:rsidRPr="002D4978">
        <w:rPr>
          <w:b/>
          <w:bCs/>
          <w:i/>
          <w:iCs/>
          <w:sz w:val="23"/>
          <w:szCs w:val="23"/>
        </w:rPr>
        <w:t xml:space="preserve">) </w:t>
      </w:r>
      <w:r w:rsidRPr="002D4978">
        <w:rPr>
          <w:b/>
          <w:bCs/>
          <w:sz w:val="23"/>
          <w:szCs w:val="23"/>
        </w:rPr>
        <w:t xml:space="preserve">și </w:t>
      </w:r>
      <w:r w:rsidRPr="002D4978">
        <w:rPr>
          <w:b/>
          <w:bCs/>
          <w:sz w:val="23"/>
          <w:szCs w:val="23"/>
          <w:u w:val="single"/>
        </w:rPr>
        <w:t>PL-x nr. 34/2024</w:t>
      </w:r>
      <w:r w:rsidRPr="002D4978">
        <w:rPr>
          <w:b/>
          <w:bCs/>
          <w:i/>
          <w:iCs/>
          <w:sz w:val="23"/>
          <w:szCs w:val="23"/>
        </w:rPr>
        <w:t xml:space="preserve"> (</w:t>
      </w:r>
      <w:r w:rsidRPr="002D4978">
        <w:rPr>
          <w:i/>
          <w:iCs/>
          <w:sz w:val="23"/>
          <w:szCs w:val="23"/>
        </w:rPr>
        <w:t xml:space="preserve">Proiect de Lege pentru aprobarea Ordonanței de urgență a Guvernului nr.116/2023 privind unele măsuri pentru gestionarea </w:t>
      </w:r>
      <w:proofErr w:type="spellStart"/>
      <w:r w:rsidRPr="002D4978">
        <w:rPr>
          <w:i/>
          <w:iCs/>
          <w:sz w:val="23"/>
          <w:szCs w:val="23"/>
        </w:rPr>
        <w:t>şi</w:t>
      </w:r>
      <w:proofErr w:type="spellEnd"/>
      <w:r w:rsidRPr="002D4978">
        <w:rPr>
          <w:i/>
          <w:iCs/>
          <w:sz w:val="23"/>
          <w:szCs w:val="23"/>
        </w:rPr>
        <w:t xml:space="preserve"> evidențierea veniturilor curente ale bugetului public prin implementarea unor proiecte de digitalizare):</w:t>
      </w:r>
      <w:r w:rsidRPr="002D4978">
        <w:rPr>
          <w:b/>
          <w:bCs/>
          <w:i/>
          <w:iCs/>
          <w:sz w:val="23"/>
          <w:szCs w:val="23"/>
        </w:rPr>
        <w:t xml:space="preserve"> </w:t>
      </w:r>
    </w:p>
    <w:p w14:paraId="0C76DA06" w14:textId="77777777" w:rsidR="00AE12EE" w:rsidRPr="002D4978" w:rsidRDefault="00AE12EE" w:rsidP="00AE12EE">
      <w:pPr>
        <w:spacing w:after="0" w:line="288" w:lineRule="auto"/>
        <w:ind w:firstLine="708"/>
        <w:jc w:val="both"/>
        <w:rPr>
          <w:sz w:val="23"/>
          <w:szCs w:val="23"/>
        </w:rPr>
      </w:pPr>
      <w:r w:rsidRPr="002D4978">
        <w:rPr>
          <w:sz w:val="23"/>
          <w:szCs w:val="23"/>
        </w:rPr>
        <w:t xml:space="preserve">Pe scurt, prin OUG nr. 109/2023 a fost reglementat așa-numitul hub financiar, iar prin OUG nr. 116/2023 a fost reglementată crearea modulelor </w:t>
      </w:r>
      <w:proofErr w:type="spellStart"/>
      <w:r w:rsidRPr="002D4978">
        <w:rPr>
          <w:sz w:val="23"/>
          <w:szCs w:val="23"/>
        </w:rPr>
        <w:t>hubului</w:t>
      </w:r>
      <w:proofErr w:type="spellEnd"/>
      <w:r w:rsidRPr="002D4978">
        <w:rPr>
          <w:sz w:val="23"/>
          <w:szCs w:val="23"/>
        </w:rPr>
        <w:t xml:space="preserve"> financiar, până la dezvoltarea și operaționalizarea acestuia. </w:t>
      </w:r>
    </w:p>
    <w:p w14:paraId="4696CB6E" w14:textId="77777777" w:rsidR="00AE12EE" w:rsidRPr="002D4978" w:rsidRDefault="00AE12EE" w:rsidP="00AE12EE">
      <w:pPr>
        <w:spacing w:after="0" w:line="288" w:lineRule="auto"/>
        <w:ind w:firstLine="708"/>
        <w:jc w:val="both"/>
        <w:rPr>
          <w:sz w:val="23"/>
          <w:szCs w:val="23"/>
        </w:rPr>
      </w:pPr>
      <w:r w:rsidRPr="002D4978">
        <w:rPr>
          <w:sz w:val="23"/>
          <w:szCs w:val="23"/>
        </w:rPr>
        <w:t xml:space="preserve">Prin aceste OUG -uri (care sunt deja în vigoare) s-a creat cadrul legal pentru a se putea transforma în digital orice este fizic privitor la orice cetățean. </w:t>
      </w:r>
    </w:p>
    <w:p w14:paraId="22071E18" w14:textId="77777777" w:rsidR="00AE12EE" w:rsidRPr="002D4978" w:rsidRDefault="00AE12EE" w:rsidP="00AE12EE">
      <w:pPr>
        <w:spacing w:after="0" w:line="288" w:lineRule="auto"/>
        <w:ind w:firstLine="708"/>
        <w:jc w:val="both"/>
        <w:rPr>
          <w:b/>
          <w:bCs/>
          <w:sz w:val="23"/>
          <w:szCs w:val="23"/>
        </w:rPr>
      </w:pPr>
      <w:r w:rsidRPr="002D4978">
        <w:rPr>
          <w:sz w:val="23"/>
          <w:szCs w:val="23"/>
        </w:rPr>
        <w:t xml:space="preserve">Practic, prin aceste OUG -uri, s-a legiferat </w:t>
      </w:r>
      <w:r w:rsidRPr="002D4978">
        <w:rPr>
          <w:b/>
          <w:bCs/>
          <w:sz w:val="23"/>
          <w:szCs w:val="23"/>
        </w:rPr>
        <w:t>crearea unei baze de date unice care va conține toate datele și informațiile despre toți cetățenii, toate entitățile juridice, toate activitățile cetățenilor din Romania. Practic, ”tot ce mișcă” în România va putea fi transformat în digital și pus în această bază de date unică.</w:t>
      </w:r>
    </w:p>
    <w:p w14:paraId="061A3E1D" w14:textId="77777777" w:rsidR="00AE12EE" w:rsidRPr="002D4978" w:rsidRDefault="00AE12EE" w:rsidP="00AE12EE">
      <w:pPr>
        <w:spacing w:after="0" w:line="288" w:lineRule="auto"/>
        <w:ind w:firstLine="708"/>
        <w:jc w:val="both"/>
        <w:rPr>
          <w:sz w:val="23"/>
          <w:szCs w:val="23"/>
        </w:rPr>
      </w:pPr>
      <w:r w:rsidRPr="002D4978">
        <w:rPr>
          <w:sz w:val="23"/>
          <w:szCs w:val="23"/>
        </w:rPr>
        <w:t xml:space="preserve">Acestei baze de date unice i s-a dat o denumire înșelătoare de HUB FINANCIAR. Însă, </w:t>
      </w:r>
      <w:r w:rsidRPr="002D4978">
        <w:rPr>
          <w:b/>
          <w:bCs/>
          <w:sz w:val="23"/>
          <w:szCs w:val="23"/>
        </w:rPr>
        <w:t>acest HUB FINANCIAR</w:t>
      </w:r>
      <w:r w:rsidRPr="002D4978">
        <w:rPr>
          <w:sz w:val="23"/>
          <w:szCs w:val="23"/>
        </w:rPr>
        <w:t xml:space="preserve"> </w:t>
      </w:r>
      <w:r w:rsidRPr="002D4978">
        <w:rPr>
          <w:b/>
          <w:bCs/>
          <w:sz w:val="23"/>
          <w:szCs w:val="23"/>
        </w:rPr>
        <w:t>va conține</w:t>
      </w:r>
      <w:r w:rsidRPr="002D4978">
        <w:rPr>
          <w:sz w:val="23"/>
          <w:szCs w:val="23"/>
        </w:rPr>
        <w:t xml:space="preserve"> nu numai datele financiare, vamale și fiscale din România, ci și </w:t>
      </w:r>
      <w:r w:rsidRPr="002D4978">
        <w:rPr>
          <w:b/>
          <w:bCs/>
          <w:sz w:val="23"/>
          <w:szCs w:val="23"/>
        </w:rPr>
        <w:t>orice date din orice sisteme informatice ale oricărei entități publice</w:t>
      </w:r>
      <w:r w:rsidRPr="002D4978">
        <w:rPr>
          <w:sz w:val="23"/>
          <w:szCs w:val="23"/>
        </w:rPr>
        <w:t>. (A se vedea în acest sens art. 1 alin 2, precum și art. 1 alin 9 din OUG nr. 109/2023</w:t>
      </w:r>
      <w:r w:rsidRPr="002D4978">
        <w:rPr>
          <w:rStyle w:val="Referinnotdesubsol"/>
          <w:sz w:val="23"/>
          <w:szCs w:val="23"/>
        </w:rPr>
        <w:footnoteReference w:id="2"/>
      </w:r>
      <w:r w:rsidRPr="002D4978">
        <w:rPr>
          <w:sz w:val="23"/>
          <w:szCs w:val="23"/>
        </w:rPr>
        <w:t xml:space="preserve"> ”</w:t>
      </w:r>
      <w:proofErr w:type="spellStart"/>
      <w:r w:rsidRPr="002D4978">
        <w:rPr>
          <w:i/>
          <w:iCs/>
          <w:sz w:val="23"/>
          <w:szCs w:val="23"/>
        </w:rPr>
        <w:t>Hubul</w:t>
      </w:r>
      <w:proofErr w:type="spellEnd"/>
      <w:r w:rsidRPr="002D4978">
        <w:rPr>
          <w:i/>
          <w:iCs/>
          <w:sz w:val="23"/>
          <w:szCs w:val="23"/>
        </w:rPr>
        <w:t xml:space="preserve"> financiar poate asigura și găzduirea altor componente de sisteme informatice administrate de alte entități publice</w:t>
      </w:r>
      <w:r w:rsidRPr="002D4978">
        <w:rPr>
          <w:sz w:val="23"/>
          <w:szCs w:val="23"/>
        </w:rPr>
        <w:t xml:space="preserve">”). </w:t>
      </w:r>
      <w:r w:rsidRPr="002D4978">
        <w:rPr>
          <w:sz w:val="23"/>
          <w:szCs w:val="23"/>
        </w:rPr>
        <w:tab/>
      </w:r>
    </w:p>
    <w:p w14:paraId="37CD8546" w14:textId="77777777" w:rsidR="00AE12EE" w:rsidRPr="002D4978" w:rsidRDefault="00AE12EE" w:rsidP="00AE12EE">
      <w:pPr>
        <w:spacing w:after="0" w:line="288" w:lineRule="auto"/>
        <w:ind w:firstLine="708"/>
        <w:jc w:val="both"/>
        <w:rPr>
          <w:b/>
          <w:bCs/>
          <w:sz w:val="23"/>
          <w:szCs w:val="23"/>
        </w:rPr>
      </w:pPr>
      <w:r w:rsidRPr="002D4978">
        <w:rPr>
          <w:sz w:val="23"/>
          <w:szCs w:val="23"/>
        </w:rPr>
        <w:t>Prin OUG nr. 116/2023</w:t>
      </w:r>
      <w:r w:rsidRPr="002D4978">
        <w:rPr>
          <w:rStyle w:val="Referinnotdesubsol"/>
          <w:sz w:val="23"/>
          <w:szCs w:val="23"/>
        </w:rPr>
        <w:footnoteReference w:id="3"/>
      </w:r>
      <w:r w:rsidRPr="002D4978">
        <w:rPr>
          <w:sz w:val="23"/>
          <w:szCs w:val="23"/>
        </w:rPr>
        <w:t xml:space="preserve"> s-a reglementat că până la dezvoltarea și operaționalizarea </w:t>
      </w:r>
      <w:proofErr w:type="spellStart"/>
      <w:r w:rsidRPr="002D4978">
        <w:rPr>
          <w:sz w:val="23"/>
          <w:szCs w:val="23"/>
        </w:rPr>
        <w:t>hubului</w:t>
      </w:r>
      <w:proofErr w:type="spellEnd"/>
      <w:r w:rsidRPr="002D4978">
        <w:rPr>
          <w:sz w:val="23"/>
          <w:szCs w:val="23"/>
        </w:rPr>
        <w:t xml:space="preserve"> financiar să se creeze modulele acestuia (”</w:t>
      </w:r>
      <w:proofErr w:type="spellStart"/>
      <w:r w:rsidRPr="002D4978">
        <w:rPr>
          <w:sz w:val="23"/>
          <w:szCs w:val="23"/>
        </w:rPr>
        <w:t>subbazele</w:t>
      </w:r>
      <w:proofErr w:type="spellEnd"/>
      <w:r w:rsidRPr="002D4978">
        <w:rPr>
          <w:sz w:val="23"/>
          <w:szCs w:val="23"/>
        </w:rPr>
        <w:t xml:space="preserve">” de date). Printre modulele prevăzute de această OUG se regăsesc și </w:t>
      </w:r>
      <w:r w:rsidRPr="002D4978">
        <w:rPr>
          <w:b/>
          <w:bCs/>
          <w:sz w:val="23"/>
          <w:szCs w:val="23"/>
        </w:rPr>
        <w:t>”</w:t>
      </w:r>
      <w:r w:rsidRPr="002D4978">
        <w:rPr>
          <w:b/>
          <w:bCs/>
          <w:i/>
          <w:iCs/>
          <w:sz w:val="23"/>
          <w:szCs w:val="23"/>
        </w:rPr>
        <w:t>alte module</w:t>
      </w:r>
      <w:r w:rsidRPr="002D4978">
        <w:rPr>
          <w:sz w:val="23"/>
          <w:szCs w:val="23"/>
        </w:rPr>
        <w:t xml:space="preserve">” (art. 8 alin 2 </w:t>
      </w:r>
      <w:proofErr w:type="spellStart"/>
      <w:r w:rsidRPr="002D4978">
        <w:rPr>
          <w:sz w:val="23"/>
          <w:szCs w:val="23"/>
        </w:rPr>
        <w:t>lit</w:t>
      </w:r>
      <w:proofErr w:type="spellEnd"/>
      <w:r w:rsidRPr="002D4978">
        <w:rPr>
          <w:sz w:val="23"/>
          <w:szCs w:val="23"/>
        </w:rPr>
        <w:t xml:space="preserve"> f) </w:t>
      </w:r>
      <w:r w:rsidRPr="002D4978">
        <w:rPr>
          <w:b/>
          <w:bCs/>
          <w:sz w:val="23"/>
          <w:szCs w:val="23"/>
        </w:rPr>
        <w:t xml:space="preserve">care corespund în realitate datelor din sistemelor informatice ale oricărei entități publice prevăzute de art. 1 alin 9 din OUG nr. 109/2023. </w:t>
      </w:r>
    </w:p>
    <w:p w14:paraId="627EA4BF" w14:textId="77777777" w:rsidR="00AE12EE" w:rsidRPr="002D4978" w:rsidRDefault="00AE12EE" w:rsidP="00AE12EE">
      <w:pPr>
        <w:spacing w:after="0" w:line="288" w:lineRule="auto"/>
        <w:ind w:firstLine="708"/>
        <w:jc w:val="both"/>
        <w:rPr>
          <w:b/>
          <w:bCs/>
          <w:sz w:val="23"/>
          <w:szCs w:val="23"/>
        </w:rPr>
      </w:pPr>
      <w:r w:rsidRPr="002D4978">
        <w:rPr>
          <w:b/>
          <w:bCs/>
          <w:sz w:val="23"/>
          <w:szCs w:val="23"/>
        </w:rPr>
        <w:t xml:space="preserve">Acest HUB FINANCIAR este creat și gestionat în realitate de către SRI, prin Regia Autonomă </w:t>
      </w:r>
      <w:proofErr w:type="spellStart"/>
      <w:r w:rsidRPr="002D4978">
        <w:rPr>
          <w:b/>
          <w:bCs/>
          <w:sz w:val="23"/>
          <w:szCs w:val="23"/>
        </w:rPr>
        <w:t>Rasirom</w:t>
      </w:r>
      <w:proofErr w:type="spellEnd"/>
      <w:r w:rsidRPr="002D4978">
        <w:rPr>
          <w:sz w:val="23"/>
          <w:szCs w:val="23"/>
        </w:rPr>
        <w:t xml:space="preserve"> (a se vedea </w:t>
      </w:r>
      <w:proofErr w:type="spellStart"/>
      <w:r w:rsidRPr="002D4978">
        <w:rPr>
          <w:sz w:val="23"/>
          <w:szCs w:val="23"/>
        </w:rPr>
        <w:t>art</w:t>
      </w:r>
      <w:proofErr w:type="spellEnd"/>
      <w:r w:rsidRPr="002D4978">
        <w:rPr>
          <w:sz w:val="23"/>
          <w:szCs w:val="23"/>
        </w:rPr>
        <w:t xml:space="preserve"> 4 din OUG nr. 109/2023). </w:t>
      </w:r>
    </w:p>
    <w:p w14:paraId="2F8316D1" w14:textId="77777777" w:rsidR="00AE12EE" w:rsidRPr="002D4978" w:rsidRDefault="00AE12EE" w:rsidP="00AE12EE">
      <w:pPr>
        <w:spacing w:after="0" w:line="288" w:lineRule="auto"/>
        <w:ind w:firstLine="708"/>
        <w:jc w:val="both"/>
        <w:rPr>
          <w:b/>
          <w:bCs/>
          <w:sz w:val="23"/>
          <w:szCs w:val="23"/>
        </w:rPr>
      </w:pPr>
      <w:r w:rsidRPr="002D4978">
        <w:rPr>
          <w:sz w:val="23"/>
          <w:szCs w:val="23"/>
        </w:rPr>
        <w:t xml:space="preserve">Regia Autonomă </w:t>
      </w:r>
      <w:proofErr w:type="spellStart"/>
      <w:r w:rsidRPr="002D4978">
        <w:rPr>
          <w:sz w:val="23"/>
          <w:szCs w:val="23"/>
        </w:rPr>
        <w:t>Rasirom</w:t>
      </w:r>
      <w:proofErr w:type="spellEnd"/>
      <w:r w:rsidRPr="002D4978">
        <w:rPr>
          <w:sz w:val="23"/>
          <w:szCs w:val="23"/>
        </w:rPr>
        <w:t xml:space="preserve"> înseamnă în realitate SRI, organizarea și funcționarea acestei regii fiind reglementată de HG nr. 60/1995</w:t>
      </w:r>
      <w:r w:rsidRPr="002D4978">
        <w:rPr>
          <w:rStyle w:val="Referinnotdesubsol"/>
          <w:sz w:val="23"/>
          <w:szCs w:val="23"/>
        </w:rPr>
        <w:footnoteReference w:id="4"/>
      </w:r>
      <w:r w:rsidRPr="002D4978">
        <w:rPr>
          <w:sz w:val="23"/>
          <w:szCs w:val="23"/>
        </w:rPr>
        <w:t xml:space="preserve"> potrivit căreia, pentru </w:t>
      </w:r>
      <w:proofErr w:type="spellStart"/>
      <w:r w:rsidRPr="002D4978">
        <w:rPr>
          <w:sz w:val="23"/>
          <w:szCs w:val="23"/>
        </w:rPr>
        <w:t>Rasirom</w:t>
      </w:r>
      <w:proofErr w:type="spellEnd"/>
      <w:r w:rsidRPr="002D4978">
        <w:rPr>
          <w:sz w:val="23"/>
          <w:szCs w:val="23"/>
        </w:rPr>
        <w:t xml:space="preserve">, SRI  îndeplinește atribuțiile ministerului de resort (art. 1 alin 3 din HG nr. 60/1995), iar tot personalul civil și militar al </w:t>
      </w:r>
      <w:proofErr w:type="spellStart"/>
      <w:r w:rsidRPr="002D4978">
        <w:rPr>
          <w:sz w:val="23"/>
          <w:szCs w:val="23"/>
        </w:rPr>
        <w:t>Rasirom</w:t>
      </w:r>
      <w:proofErr w:type="spellEnd"/>
      <w:r w:rsidRPr="002D4978">
        <w:rPr>
          <w:sz w:val="23"/>
          <w:szCs w:val="23"/>
        </w:rPr>
        <w:t xml:space="preserve"> este obligat să respecte ordinele, regulamentele și reglementările specifice Serviciului Roman de Informații (art. 5 din HG nr. 60/1995). </w:t>
      </w:r>
    </w:p>
    <w:p w14:paraId="530F2B30" w14:textId="77777777" w:rsidR="00AE12EE" w:rsidRPr="002D4978" w:rsidRDefault="00AE12EE" w:rsidP="00AE12EE">
      <w:pPr>
        <w:spacing w:after="0" w:line="288" w:lineRule="auto"/>
        <w:ind w:firstLine="708"/>
        <w:jc w:val="both"/>
        <w:rPr>
          <w:b/>
          <w:bCs/>
          <w:sz w:val="23"/>
          <w:szCs w:val="23"/>
        </w:rPr>
      </w:pPr>
      <w:r w:rsidRPr="002D4978">
        <w:rPr>
          <w:sz w:val="23"/>
          <w:szCs w:val="23"/>
        </w:rPr>
        <w:t>Cum toate entitățile publice se digitalizează, iar pe de altă parte s-au adoptat numeroase legi care permit monitorizarea permanentă a cetățenilor, atât în ceea ce privește comunicarea telefonică, e-mail, chat, cât și activitățile fizice ale acestora prin intermediul camerelor de supraveghere</w:t>
      </w:r>
      <w:r w:rsidRPr="002D4978">
        <w:rPr>
          <w:b/>
          <w:bCs/>
          <w:sz w:val="23"/>
          <w:szCs w:val="23"/>
        </w:rPr>
        <w:t xml:space="preserve">, crearea unei baze de date unice, a unor </w:t>
      </w:r>
      <w:proofErr w:type="spellStart"/>
      <w:r w:rsidRPr="002D4978">
        <w:rPr>
          <w:b/>
          <w:bCs/>
          <w:sz w:val="23"/>
          <w:szCs w:val="23"/>
        </w:rPr>
        <w:t>metadate</w:t>
      </w:r>
      <w:proofErr w:type="spellEnd"/>
      <w:r w:rsidRPr="002D4978">
        <w:rPr>
          <w:b/>
          <w:bCs/>
          <w:sz w:val="23"/>
          <w:szCs w:val="23"/>
        </w:rPr>
        <w:t xml:space="preserve"> care sunt puse sub controlul SRI reprezintă un real pericol atât pentru democrația din România, cât și pentru siguranța oricărui cetățean român. </w:t>
      </w:r>
    </w:p>
    <w:p w14:paraId="07F8B36C" w14:textId="77777777" w:rsidR="00AE12EE" w:rsidRPr="002D4978" w:rsidRDefault="00AE12EE" w:rsidP="00AE12EE">
      <w:pPr>
        <w:spacing w:after="0" w:line="288" w:lineRule="auto"/>
        <w:ind w:firstLine="708"/>
        <w:jc w:val="both"/>
        <w:rPr>
          <w:sz w:val="23"/>
          <w:szCs w:val="23"/>
        </w:rPr>
      </w:pPr>
      <w:r w:rsidRPr="002D4978">
        <w:rPr>
          <w:sz w:val="23"/>
          <w:szCs w:val="23"/>
        </w:rPr>
        <w:t xml:space="preserve">În mod constant am văzut cum s-au creat în interiorul SRI grupuri de interese care au folosit instituția și resursele instituției în interes personal. </w:t>
      </w:r>
    </w:p>
    <w:p w14:paraId="6B07E7AF" w14:textId="77777777" w:rsidR="00AE12EE" w:rsidRPr="002D4978" w:rsidRDefault="00AE12EE" w:rsidP="00AE12EE">
      <w:pPr>
        <w:spacing w:after="0" w:line="288" w:lineRule="auto"/>
        <w:ind w:firstLine="708"/>
        <w:jc w:val="both"/>
        <w:rPr>
          <w:b/>
          <w:bCs/>
          <w:sz w:val="23"/>
          <w:szCs w:val="23"/>
        </w:rPr>
      </w:pPr>
      <w:r w:rsidRPr="002D4978">
        <w:rPr>
          <w:b/>
          <w:bCs/>
          <w:sz w:val="23"/>
          <w:szCs w:val="23"/>
        </w:rPr>
        <w:t xml:space="preserve">Acceptarea legiferării HUBULUI FINANCIAR și punerii acestuia sub controlul SRI prezintă pericol de monitorizare în masă și control al tuturor cetățenilor, prin intermediul acestui HUB Financiar, de către SRI sau grupurile de interese din SRI. </w:t>
      </w:r>
      <w:r w:rsidRPr="002D4978">
        <w:rPr>
          <w:sz w:val="23"/>
          <w:szCs w:val="23"/>
        </w:rPr>
        <w:t xml:space="preserve">Activitatea SRI este supusă legislației speciale privind documentele clasificate, iar cetățenii României nu vor avea posibilitatea să știe și nici să afle ce se întâmplă cu bazele de date, cum sunt folosite datele și informațiile din ele și nici nu vor avea posibilitatea să se plângă în instanță împotriva unui eventual comportament abuziv al unor angajați din cadrul SRI în contra cetățenilor (deoarece nu vor avea acces la informații, acestea fiind secrete și nu vor putea intra în posesia niciunui document pe care să îl poată contesta în instanță). </w:t>
      </w:r>
    </w:p>
    <w:p w14:paraId="29502048" w14:textId="77777777" w:rsidR="00AE12EE" w:rsidRPr="002D4978" w:rsidRDefault="00AE12EE" w:rsidP="00AE12EE">
      <w:pPr>
        <w:tabs>
          <w:tab w:val="left" w:pos="567"/>
          <w:tab w:val="left" w:pos="709"/>
          <w:tab w:val="left" w:pos="851"/>
          <w:tab w:val="left" w:pos="1134"/>
        </w:tabs>
        <w:spacing w:after="0" w:line="264" w:lineRule="auto"/>
        <w:contextualSpacing/>
        <w:jc w:val="both"/>
        <w:rPr>
          <w:rFonts w:ascii="Times New Roman" w:eastAsia="Calibri" w:hAnsi="Times New Roman" w:cs="Times New Roman"/>
          <w:b/>
          <w:bCs/>
          <w:kern w:val="0"/>
          <w:sz w:val="23"/>
          <w:szCs w:val="23"/>
          <w:lang w:eastAsia="en-US"/>
          <w14:ligatures w14:val="none"/>
        </w:rPr>
      </w:pPr>
      <w:r w:rsidRPr="002D4978">
        <w:rPr>
          <w:sz w:val="23"/>
          <w:szCs w:val="23"/>
        </w:rPr>
        <w:t xml:space="preserve">Aceasta cu atât mai mult cu cât această bază de date unică denumită hub financiar va reprezenta probabil baza de date pentru identitatea digitala unica (portofelul digital). </w:t>
      </w:r>
      <w:r w:rsidRPr="002D4978">
        <w:rPr>
          <w:sz w:val="23"/>
          <w:szCs w:val="23"/>
        </w:rPr>
        <w:br/>
      </w:r>
      <w:r w:rsidRPr="002D4978">
        <w:rPr>
          <w:sz w:val="23"/>
          <w:szCs w:val="23"/>
        </w:rPr>
        <w:tab/>
      </w:r>
      <w:r w:rsidRPr="002D4978">
        <w:rPr>
          <w:rFonts w:eastAsia="Calibri" w:cs="Times New Roman"/>
          <w:kern w:val="0"/>
          <w:sz w:val="23"/>
          <w:szCs w:val="23"/>
          <w:lang w:eastAsia="en-US"/>
          <w14:ligatures w14:val="none"/>
        </w:rPr>
        <w:t>Raportat la legislația din România,</w:t>
      </w:r>
      <w:r w:rsidRPr="002D4978">
        <w:rPr>
          <w:rFonts w:eastAsia="Calibri" w:cs="Times New Roman"/>
          <w:b/>
          <w:bCs/>
          <w:kern w:val="0"/>
          <w:sz w:val="23"/>
          <w:szCs w:val="23"/>
          <w:lang w:eastAsia="en-US"/>
          <w14:ligatures w14:val="none"/>
        </w:rPr>
        <w:t xml:space="preserve"> crearea cadrului legal pentru punerea la dispoziție și sub controlul SRI a tuturor datelor și informațiilor din România, atât din mediul public, cât și privat, prin intermediul acestui așa-numit Hub financiar, Serviciul Român de Informații se îndepărtează de la rolul pe care îl are, de structură de culegere de informații, devenind beneficiar al datelor și informațiilor deja existente în </w:t>
      </w:r>
      <w:proofErr w:type="spellStart"/>
      <w:r w:rsidRPr="002D4978">
        <w:rPr>
          <w:rFonts w:eastAsia="Calibri" w:cs="Times New Roman"/>
          <w:b/>
          <w:bCs/>
          <w:kern w:val="0"/>
          <w:sz w:val="23"/>
          <w:szCs w:val="23"/>
          <w:lang w:eastAsia="en-US"/>
          <w14:ligatures w14:val="none"/>
        </w:rPr>
        <w:t>Hubul</w:t>
      </w:r>
      <w:proofErr w:type="spellEnd"/>
      <w:r w:rsidRPr="002D4978">
        <w:rPr>
          <w:rFonts w:eastAsia="Calibri" w:cs="Times New Roman"/>
          <w:b/>
          <w:bCs/>
          <w:kern w:val="0"/>
          <w:sz w:val="23"/>
          <w:szCs w:val="23"/>
          <w:lang w:eastAsia="en-US"/>
          <w14:ligatures w14:val="none"/>
        </w:rPr>
        <w:t xml:space="preserve"> Financiar, neexistând niciun control real cu privire la modul în care le va folosi, ceea ce prezintă un </w:t>
      </w:r>
      <w:r w:rsidRPr="002D4978">
        <w:rPr>
          <w:rFonts w:eastAsia="Calibri" w:cs="Times New Roman"/>
          <w:b/>
          <w:bCs/>
          <w:kern w:val="0"/>
          <w:sz w:val="23"/>
          <w:szCs w:val="23"/>
          <w:u w:val="single"/>
          <w:lang w:eastAsia="en-US"/>
          <w14:ligatures w14:val="none"/>
        </w:rPr>
        <w:t xml:space="preserve">pericol de dispariție a caracterului de stat de drept și democratic al României și formarea unei </w:t>
      </w:r>
      <w:r w:rsidRPr="002D4978">
        <w:rPr>
          <w:rFonts w:eastAsia="Calibri" w:cs="Times New Roman"/>
          <w:b/>
          <w:bCs/>
          <w:i/>
          <w:iCs/>
          <w:kern w:val="0"/>
          <w:sz w:val="23"/>
          <w:szCs w:val="23"/>
          <w:u w:val="single"/>
          <w:lang w:eastAsia="en-US"/>
          <w14:ligatures w14:val="none"/>
        </w:rPr>
        <w:t xml:space="preserve">mentalități de tipul „stat în stat” </w:t>
      </w:r>
      <w:r w:rsidRPr="002D4978">
        <w:rPr>
          <w:rFonts w:eastAsia="Calibri" w:cs="Times New Roman"/>
          <w:b/>
          <w:bCs/>
          <w:kern w:val="0"/>
          <w:sz w:val="23"/>
          <w:szCs w:val="23"/>
          <w:u w:val="single"/>
          <w:lang w:eastAsia="en-US"/>
          <w14:ligatures w14:val="none"/>
        </w:rPr>
        <w:t>la nivelul SRI.</w:t>
      </w:r>
      <w:r w:rsidRPr="002D4978">
        <w:rPr>
          <w:rFonts w:ascii="Times New Roman" w:eastAsia="Calibri" w:hAnsi="Times New Roman" w:cs="Times New Roman"/>
          <w:b/>
          <w:bCs/>
          <w:i/>
          <w:iCs/>
          <w:kern w:val="0"/>
          <w:sz w:val="23"/>
          <w:szCs w:val="23"/>
          <w:u w:val="single"/>
          <w:lang w:eastAsia="en-US"/>
          <w14:ligatures w14:val="none"/>
        </w:rPr>
        <w:t xml:space="preserve"> </w:t>
      </w:r>
    </w:p>
    <w:p w14:paraId="01F33FCE" w14:textId="77777777" w:rsidR="00AE12EE" w:rsidRPr="002D4978" w:rsidRDefault="00AE12EE" w:rsidP="00AE12EE">
      <w:pPr>
        <w:spacing w:after="0" w:line="288" w:lineRule="auto"/>
        <w:jc w:val="both"/>
        <w:rPr>
          <w:sz w:val="23"/>
          <w:szCs w:val="23"/>
        </w:rPr>
      </w:pPr>
      <w:r w:rsidRPr="002D4978">
        <w:rPr>
          <w:sz w:val="23"/>
          <w:szCs w:val="23"/>
        </w:rPr>
        <w:tab/>
        <w:t xml:space="preserve">Mai mult, </w:t>
      </w:r>
      <w:r w:rsidRPr="002D4978">
        <w:rPr>
          <w:b/>
          <w:bCs/>
          <w:sz w:val="23"/>
          <w:szCs w:val="23"/>
        </w:rPr>
        <w:t>existența în sine a acestei baze de date unice reprezintă un pericol la securitatea națională a României,</w:t>
      </w:r>
      <w:r w:rsidRPr="002D4978">
        <w:rPr>
          <w:sz w:val="23"/>
          <w:szCs w:val="23"/>
        </w:rPr>
        <w:t xml:space="preserve"> aceasta deoarece prin introducerea în cadrul aceluiași suport tehnic (hub) a tuturor datelor și informațiilor aferente fiecărui cetățean al României, precum și a tuturor datelor și informațiilor aferente mediului de afaceri din România se permite ca în cazul unei breșe de securitate cibernetică (care nu este imposibilă) sau unei acțiuni de spionaj realizată cu succes, puteri sau organizații străine să aibă acces la toate datele și informațiile aferente tuturor cetățenilor României, precum și mediului de afaceri din România, cu punerea în pericol a stabilității economice a României și chiar a existenței statului român. </w:t>
      </w:r>
    </w:p>
    <w:p w14:paraId="6BE3668C" w14:textId="77777777" w:rsidR="00AE12EE" w:rsidRPr="002D4978" w:rsidRDefault="00AE12EE" w:rsidP="00AE12EE">
      <w:pPr>
        <w:spacing w:after="0" w:line="288" w:lineRule="auto"/>
        <w:jc w:val="both"/>
        <w:rPr>
          <w:sz w:val="23"/>
          <w:szCs w:val="23"/>
        </w:rPr>
      </w:pPr>
      <w:r w:rsidRPr="002D4978">
        <w:rPr>
          <w:b/>
          <w:bCs/>
          <w:sz w:val="23"/>
          <w:szCs w:val="23"/>
        </w:rPr>
        <w:tab/>
        <w:t xml:space="preserve">Drept urmare, dacă partidul dvs. și membrii partidului </w:t>
      </w:r>
      <w:proofErr w:type="spellStart"/>
      <w:r w:rsidRPr="002D4978">
        <w:rPr>
          <w:b/>
          <w:bCs/>
          <w:sz w:val="23"/>
          <w:szCs w:val="23"/>
        </w:rPr>
        <w:t>dvs</w:t>
      </w:r>
      <w:proofErr w:type="spellEnd"/>
      <w:r w:rsidRPr="002D4978">
        <w:rPr>
          <w:b/>
          <w:bCs/>
          <w:sz w:val="23"/>
          <w:szCs w:val="23"/>
        </w:rPr>
        <w:t xml:space="preserve"> care au calitatea de deputați ai României nu vor să ajungem să trăim într-un stat în care ”securitatea” să controleze și să impună comportamentul cetățenilor cu privire la cel mai mic aspect din viața lor, atunci trebuie respinse OUG nr. 109/2023 și nr. 116/2023, votând împotriva proiectelor de lege nr. PL-X nr. 28/2024 și PL-x nr. 34/2024.</w:t>
      </w:r>
      <w:r w:rsidRPr="002D4978">
        <w:rPr>
          <w:sz w:val="23"/>
          <w:szCs w:val="23"/>
        </w:rPr>
        <w:t xml:space="preserve"> </w:t>
      </w:r>
    </w:p>
    <w:p w14:paraId="0DE20938" w14:textId="77777777" w:rsidR="00AE12EE" w:rsidRPr="002D4978" w:rsidRDefault="00AE12EE" w:rsidP="00AE12EE">
      <w:pPr>
        <w:jc w:val="both"/>
        <w:rPr>
          <w:b/>
          <w:bCs/>
          <w:sz w:val="23"/>
          <w:szCs w:val="23"/>
        </w:rPr>
      </w:pPr>
      <w:r w:rsidRPr="002D4978">
        <w:rPr>
          <w:b/>
          <w:bCs/>
          <w:sz w:val="23"/>
          <w:szCs w:val="23"/>
        </w:rPr>
        <w:tab/>
      </w:r>
    </w:p>
    <w:p w14:paraId="3388533B" w14:textId="77777777" w:rsidR="00AE12EE" w:rsidRPr="002D4978" w:rsidRDefault="00AE12EE" w:rsidP="00AE12EE">
      <w:pPr>
        <w:pStyle w:val="Listparagraf"/>
        <w:numPr>
          <w:ilvl w:val="2"/>
          <w:numId w:val="5"/>
        </w:numPr>
        <w:spacing w:after="0" w:line="288" w:lineRule="auto"/>
        <w:ind w:left="426" w:hanging="426"/>
        <w:jc w:val="both"/>
        <w:rPr>
          <w:b/>
          <w:bCs/>
          <w:sz w:val="23"/>
          <w:szCs w:val="23"/>
        </w:rPr>
      </w:pPr>
      <w:r w:rsidRPr="002D4978">
        <w:rPr>
          <w:b/>
          <w:bCs/>
          <w:sz w:val="23"/>
          <w:szCs w:val="23"/>
        </w:rPr>
        <w:t xml:space="preserve">Referitor la </w:t>
      </w:r>
      <w:proofErr w:type="spellStart"/>
      <w:r w:rsidRPr="002D4978">
        <w:rPr>
          <w:b/>
          <w:bCs/>
          <w:sz w:val="23"/>
          <w:szCs w:val="23"/>
        </w:rPr>
        <w:t>Pl</w:t>
      </w:r>
      <w:proofErr w:type="spellEnd"/>
      <w:r w:rsidRPr="002D4978">
        <w:rPr>
          <w:b/>
          <w:bCs/>
          <w:sz w:val="23"/>
          <w:szCs w:val="23"/>
        </w:rPr>
        <w:t>-x nr. 53/2024</w:t>
      </w:r>
      <w:r w:rsidRPr="002D4978">
        <w:rPr>
          <w:b/>
          <w:bCs/>
          <w:i/>
          <w:iCs/>
          <w:sz w:val="23"/>
          <w:szCs w:val="23"/>
        </w:rPr>
        <w:t xml:space="preserve"> (Propunere legislativă pentru asigurarea dreptului de a plăti cu numerar pe teritoriul României prin abrogarea Legii nr.70/2015):</w:t>
      </w:r>
    </w:p>
    <w:p w14:paraId="0FEDC685" w14:textId="77777777" w:rsidR="00AE12EE" w:rsidRPr="002D4978" w:rsidRDefault="00AE12EE" w:rsidP="00AE12EE">
      <w:pPr>
        <w:spacing w:after="0" w:line="288" w:lineRule="auto"/>
        <w:ind w:firstLine="426"/>
        <w:jc w:val="both"/>
        <w:rPr>
          <w:sz w:val="23"/>
          <w:szCs w:val="23"/>
        </w:rPr>
      </w:pPr>
      <w:r w:rsidRPr="002D4978">
        <w:rPr>
          <w:sz w:val="23"/>
          <w:szCs w:val="23"/>
        </w:rPr>
        <w:t>Prin OG nr. 15/1996</w:t>
      </w:r>
      <w:r w:rsidRPr="002D4978">
        <w:rPr>
          <w:rStyle w:val="Referinnotdesubsol"/>
          <w:sz w:val="23"/>
          <w:szCs w:val="23"/>
        </w:rPr>
        <w:footnoteReference w:id="5"/>
      </w:r>
      <w:r w:rsidRPr="002D4978">
        <w:rPr>
          <w:sz w:val="23"/>
          <w:szCs w:val="23"/>
        </w:rPr>
        <w:t xml:space="preserve"> s-a introdus interdicția pentru persoanele juridice de a efectua operațiuni de încasări și plăți în numerar, cu unele excepții și în anumite limite. </w:t>
      </w:r>
    </w:p>
    <w:p w14:paraId="2FE585C1" w14:textId="77777777" w:rsidR="00AE12EE" w:rsidRPr="002D4978" w:rsidRDefault="00AE12EE" w:rsidP="00AE12EE">
      <w:pPr>
        <w:spacing w:after="0" w:line="288" w:lineRule="auto"/>
        <w:ind w:firstLine="426"/>
        <w:jc w:val="both"/>
        <w:rPr>
          <w:sz w:val="23"/>
          <w:szCs w:val="23"/>
        </w:rPr>
      </w:pPr>
      <w:r w:rsidRPr="002D4978">
        <w:rPr>
          <w:sz w:val="23"/>
          <w:szCs w:val="23"/>
        </w:rPr>
        <w:t>Ulterior, OG nr. 15/1996 a fost ”înlocuită”  Legea nr. 70/2015</w:t>
      </w:r>
      <w:r w:rsidRPr="002D4978">
        <w:rPr>
          <w:rStyle w:val="Referinnotdesubsol"/>
          <w:sz w:val="23"/>
          <w:szCs w:val="23"/>
        </w:rPr>
        <w:footnoteReference w:id="6"/>
      </w:r>
      <w:r w:rsidRPr="002D4978">
        <w:rPr>
          <w:sz w:val="23"/>
          <w:szCs w:val="23"/>
        </w:rPr>
        <w:t xml:space="preserve">, fiind interzise operațiunile în numerar între persoanele fizice și persoanele juridice, precum și între persoanele juridice, permițându-se efectuarea de operațiuni de încasări și plăți numai în limita unor plafoane stabilite prin lege. </w:t>
      </w:r>
    </w:p>
    <w:p w14:paraId="134901C0" w14:textId="77777777" w:rsidR="00AE12EE" w:rsidRPr="002D4978" w:rsidRDefault="00AE12EE" w:rsidP="00AE12EE">
      <w:pPr>
        <w:spacing w:after="0" w:line="288" w:lineRule="auto"/>
        <w:ind w:firstLine="426"/>
        <w:jc w:val="both"/>
        <w:rPr>
          <w:rFonts w:ascii="inherit" w:hAnsi="inherit" w:cs="Segoe UI Historic"/>
          <w:color w:val="050505"/>
          <w:sz w:val="23"/>
          <w:szCs w:val="23"/>
        </w:rPr>
      </w:pPr>
      <w:r w:rsidRPr="002D4978">
        <w:rPr>
          <w:sz w:val="23"/>
          <w:szCs w:val="23"/>
        </w:rPr>
        <w:t xml:space="preserve">Practic, Legea nr. 70/2015 a introdus </w:t>
      </w:r>
      <w:r w:rsidRPr="002D4978">
        <w:rPr>
          <w:b/>
          <w:bCs/>
          <w:i/>
          <w:iCs/>
          <w:sz w:val="23"/>
          <w:szCs w:val="23"/>
        </w:rPr>
        <w:t>regula</w:t>
      </w:r>
      <w:r w:rsidRPr="002D4978">
        <w:rPr>
          <w:b/>
          <w:bCs/>
          <w:sz w:val="23"/>
          <w:szCs w:val="23"/>
        </w:rPr>
        <w:t xml:space="preserve"> interzicerii operațiunilor de încasări și plăți în numerar în Romania </w:t>
      </w:r>
      <w:r w:rsidRPr="002D4978">
        <w:rPr>
          <w:sz w:val="23"/>
          <w:szCs w:val="23"/>
        </w:rPr>
        <w:t xml:space="preserve">și numai ca </w:t>
      </w:r>
      <w:r w:rsidRPr="002D4978">
        <w:rPr>
          <w:b/>
          <w:bCs/>
          <w:i/>
          <w:iCs/>
          <w:sz w:val="23"/>
          <w:szCs w:val="23"/>
        </w:rPr>
        <w:t>excepție</w:t>
      </w:r>
      <w:r w:rsidRPr="002D4978">
        <w:rPr>
          <w:b/>
          <w:bCs/>
          <w:sz w:val="23"/>
          <w:szCs w:val="23"/>
        </w:rPr>
        <w:t xml:space="preserve"> sunt permise operațiunile în numerar, în limita unor plafoane. </w:t>
      </w:r>
      <w:r w:rsidRPr="002D4978">
        <w:rPr>
          <w:sz w:val="23"/>
          <w:szCs w:val="23"/>
        </w:rPr>
        <w:t xml:space="preserve">(A se vedea în acest sens art. 1 alin. 1 din Legea nr. 70/2015 potrivit căruia </w:t>
      </w:r>
      <w:r w:rsidRPr="002D4978">
        <w:rPr>
          <w:rFonts w:ascii="inherit" w:hAnsi="inherit" w:cs="Segoe UI Historic"/>
          <w:color w:val="050505"/>
          <w:sz w:val="23"/>
          <w:szCs w:val="23"/>
        </w:rPr>
        <w:t xml:space="preserve">orice operațiuni de încasări și plăți efectuate de orice persoană fizică și juridică sau orice entitate juridică cu sau fără personalitate juridică se vor realiza </w:t>
      </w:r>
      <w:r w:rsidRPr="002D4978">
        <w:rPr>
          <w:rFonts w:ascii="inherit" w:hAnsi="inherit" w:cs="Segoe UI Historic"/>
          <w:i/>
          <w:iCs/>
          <w:color w:val="050505"/>
          <w:sz w:val="23"/>
          <w:szCs w:val="23"/>
        </w:rPr>
        <w:t>numai</w:t>
      </w:r>
      <w:r w:rsidRPr="002D4978">
        <w:rPr>
          <w:rFonts w:ascii="inherit" w:hAnsi="inherit" w:cs="Segoe UI Historic"/>
          <w:color w:val="050505"/>
          <w:sz w:val="23"/>
          <w:szCs w:val="23"/>
        </w:rPr>
        <w:t xml:space="preserve"> prin instrumente de plată </w:t>
      </w:r>
      <w:r w:rsidRPr="002D4978">
        <w:rPr>
          <w:rFonts w:ascii="inherit" w:hAnsi="inherit" w:cs="Segoe UI Historic"/>
          <w:i/>
          <w:iCs/>
          <w:color w:val="050505"/>
          <w:sz w:val="23"/>
          <w:szCs w:val="23"/>
        </w:rPr>
        <w:t>fără numerar</w:t>
      </w:r>
      <w:r w:rsidRPr="002D4978">
        <w:rPr>
          <w:rFonts w:ascii="inherit" w:hAnsi="inherit" w:cs="Segoe UI Historic"/>
          <w:color w:val="050505"/>
          <w:sz w:val="23"/>
          <w:szCs w:val="23"/>
        </w:rPr>
        <w:t xml:space="preserve">, definite potrivit legii). </w:t>
      </w:r>
    </w:p>
    <w:p w14:paraId="72D4E4E9" w14:textId="77777777" w:rsidR="00AE12EE" w:rsidRPr="002D4978" w:rsidRDefault="00AE12EE" w:rsidP="00AE12EE">
      <w:pPr>
        <w:spacing w:after="0" w:line="288" w:lineRule="auto"/>
        <w:ind w:firstLine="426"/>
        <w:jc w:val="both"/>
        <w:rPr>
          <w:rFonts w:ascii="inherit" w:hAnsi="inherit" w:cs="Segoe UI Historic"/>
          <w:b/>
          <w:bCs/>
          <w:color w:val="050505"/>
          <w:sz w:val="23"/>
          <w:szCs w:val="23"/>
        </w:rPr>
      </w:pPr>
      <w:r w:rsidRPr="002D4978">
        <w:rPr>
          <w:rFonts w:ascii="inherit" w:hAnsi="inherit" w:cs="Segoe UI Historic"/>
          <w:color w:val="050505"/>
          <w:sz w:val="23"/>
          <w:szCs w:val="23"/>
        </w:rPr>
        <w:t xml:space="preserve">Regula interzicerii efectuării operațiunilor cu numerar în România a fost introdusă prin Legea nr. 70/2015, cu scopul declarat de combatere a evaziunii fiscale. Cu toate acestea, </w:t>
      </w:r>
      <w:r w:rsidRPr="002D4978">
        <w:rPr>
          <w:rFonts w:ascii="inherit" w:hAnsi="inherit" w:cs="Segoe UI Historic"/>
          <w:b/>
          <w:bCs/>
          <w:color w:val="050505"/>
          <w:sz w:val="23"/>
          <w:szCs w:val="23"/>
        </w:rPr>
        <w:t xml:space="preserve">scopul declarat nu a fost atins prin această interdicție, deoarece această măsură nu a avut niciun impact în combaterea fenomenului evaziunii fiscale. </w:t>
      </w:r>
    </w:p>
    <w:p w14:paraId="6C5EA764" w14:textId="77777777" w:rsidR="00AE12EE" w:rsidRPr="002D4978" w:rsidRDefault="00AE12EE" w:rsidP="00AE12EE">
      <w:pPr>
        <w:spacing w:after="0" w:line="264" w:lineRule="auto"/>
        <w:jc w:val="both"/>
        <w:rPr>
          <w:rFonts w:eastAsia="Calibri" w:cs="Times New Roman"/>
          <w:kern w:val="0"/>
          <w:sz w:val="23"/>
          <w:szCs w:val="23"/>
          <w:lang w:eastAsia="en-US"/>
          <w14:ligatures w14:val="none"/>
        </w:rPr>
      </w:pPr>
      <w:r w:rsidRPr="002D4978">
        <w:rPr>
          <w:rFonts w:eastAsia="Calibri" w:cs="Times New Roman"/>
          <w:color w:val="FF0000"/>
          <w:kern w:val="0"/>
          <w:sz w:val="23"/>
          <w:szCs w:val="23"/>
          <w:lang w:eastAsia="en-US"/>
          <w14:ligatures w14:val="none"/>
        </w:rPr>
        <w:tab/>
      </w:r>
      <w:r w:rsidRPr="002D4978">
        <w:rPr>
          <w:rFonts w:eastAsia="Calibri" w:cs="Times New Roman"/>
          <w:kern w:val="0"/>
          <w:sz w:val="23"/>
          <w:szCs w:val="23"/>
          <w:lang w:eastAsia="en-US"/>
          <w14:ligatures w14:val="none"/>
        </w:rPr>
        <w:t xml:space="preserve">Persoanele care săvârșesc infracțiuni de evaziune fiscală au găsit noi metode (creare de societăți fantomă, deducerea de facturi fiscale fictive etc), </w:t>
      </w:r>
      <w:r w:rsidRPr="002D4978">
        <w:rPr>
          <w:rFonts w:eastAsia="Calibri" w:cs="Times New Roman"/>
          <w:b/>
          <w:bCs/>
          <w:kern w:val="0"/>
          <w:sz w:val="23"/>
          <w:szCs w:val="23"/>
          <w:lang w:eastAsia="en-US"/>
          <w14:ligatures w14:val="none"/>
        </w:rPr>
        <w:t>efectuarea operațiunilor în numerar neavând vreo pondere importantă în mecanismul infracțional.</w:t>
      </w:r>
      <w:r w:rsidRPr="002D4978">
        <w:rPr>
          <w:rFonts w:eastAsia="Calibri" w:cs="Times New Roman"/>
          <w:kern w:val="0"/>
          <w:sz w:val="23"/>
          <w:szCs w:val="23"/>
          <w:lang w:eastAsia="en-US"/>
          <w14:ligatures w14:val="none"/>
        </w:rPr>
        <w:t xml:space="preserve"> </w:t>
      </w:r>
    </w:p>
    <w:p w14:paraId="0648A523" w14:textId="77777777" w:rsidR="00AE12EE" w:rsidRPr="002D4978" w:rsidRDefault="00AE12EE" w:rsidP="00AE12EE">
      <w:pPr>
        <w:spacing w:after="0" w:line="264" w:lineRule="auto"/>
        <w:jc w:val="both"/>
        <w:rPr>
          <w:rFonts w:eastAsia="Calibri" w:cs="Times New Roman"/>
          <w:kern w:val="0"/>
          <w:sz w:val="23"/>
          <w:szCs w:val="23"/>
          <w:lang w:eastAsia="en-US"/>
          <w14:ligatures w14:val="none"/>
        </w:rPr>
      </w:pPr>
      <w:r w:rsidRPr="002D4978">
        <w:rPr>
          <w:rFonts w:eastAsia="Calibri" w:cs="Times New Roman"/>
          <w:kern w:val="0"/>
          <w:sz w:val="23"/>
          <w:szCs w:val="23"/>
          <w:lang w:eastAsia="en-US"/>
          <w14:ligatures w14:val="none"/>
        </w:rPr>
        <w:tab/>
        <w:t xml:space="preserve">Din chiar </w:t>
      </w:r>
      <w:r w:rsidRPr="002D4978">
        <w:rPr>
          <w:rFonts w:eastAsia="Calibri" w:cs="Times New Roman"/>
          <w:b/>
          <w:bCs/>
          <w:kern w:val="0"/>
          <w:sz w:val="23"/>
          <w:szCs w:val="23"/>
          <w:lang w:eastAsia="en-US"/>
          <w14:ligatures w14:val="none"/>
        </w:rPr>
        <w:t>expunerea de motive a proiectului de lege PL-x nr.</w:t>
      </w:r>
      <w:r w:rsidRPr="002D4978">
        <w:rPr>
          <w:rFonts w:eastAsia="Calibri" w:cs="Times New Roman"/>
          <w:kern w:val="0"/>
          <w:sz w:val="23"/>
          <w:szCs w:val="23"/>
          <w:lang w:eastAsia="en-US"/>
          <w14:ligatures w14:val="none"/>
        </w:rPr>
        <w:t xml:space="preserve"> </w:t>
      </w:r>
      <w:r w:rsidRPr="002D4978">
        <w:rPr>
          <w:rFonts w:eastAsia="Calibri" w:cs="Times New Roman"/>
          <w:b/>
          <w:bCs/>
          <w:kern w:val="0"/>
          <w:sz w:val="23"/>
          <w:szCs w:val="23"/>
          <w:lang w:eastAsia="en-US"/>
          <w14:ligatures w14:val="none"/>
        </w:rPr>
        <w:t>53/2024</w:t>
      </w:r>
      <w:r w:rsidRPr="002D4978">
        <w:rPr>
          <w:rStyle w:val="Referinnotdesubsol"/>
          <w:rFonts w:eastAsia="Calibri" w:cs="Times New Roman"/>
          <w:b/>
          <w:bCs/>
          <w:kern w:val="0"/>
          <w:sz w:val="23"/>
          <w:szCs w:val="23"/>
          <w:lang w:eastAsia="en-US"/>
          <w14:ligatures w14:val="none"/>
        </w:rPr>
        <w:footnoteReference w:id="7"/>
      </w:r>
      <w:r w:rsidRPr="002D4978">
        <w:rPr>
          <w:rFonts w:eastAsia="Calibri" w:cs="Times New Roman"/>
          <w:b/>
          <w:bCs/>
          <w:kern w:val="0"/>
          <w:sz w:val="23"/>
          <w:szCs w:val="23"/>
          <w:lang w:eastAsia="en-US"/>
          <w14:ligatures w14:val="none"/>
        </w:rPr>
        <w:t xml:space="preserve"> </w:t>
      </w:r>
      <w:r w:rsidRPr="002D4978">
        <w:rPr>
          <w:rFonts w:eastAsia="Calibri" w:cs="Times New Roman"/>
          <w:kern w:val="0"/>
          <w:sz w:val="23"/>
          <w:szCs w:val="23"/>
          <w:lang w:eastAsia="en-US"/>
          <w14:ligatures w14:val="none"/>
        </w:rPr>
        <w:t>reiese că</w:t>
      </w:r>
      <w:r>
        <w:rPr>
          <w:rFonts w:eastAsia="Calibri" w:cs="Times New Roman"/>
          <w:kern w:val="0"/>
          <w:sz w:val="23"/>
          <w:szCs w:val="23"/>
          <w:lang w:eastAsia="en-US"/>
          <w14:ligatures w14:val="none"/>
        </w:rPr>
        <w:t>,</w:t>
      </w:r>
      <w:r w:rsidRPr="002D4978">
        <w:rPr>
          <w:rFonts w:eastAsia="Calibri" w:cs="Times New Roman"/>
          <w:kern w:val="0"/>
          <w:sz w:val="23"/>
          <w:szCs w:val="23"/>
          <w:lang w:eastAsia="en-US"/>
          <w14:ligatures w14:val="none"/>
        </w:rPr>
        <w:t xml:space="preserve"> în urma unei analize comparative a legislației adoptate </w:t>
      </w:r>
      <w:r w:rsidRPr="002D4978">
        <w:rPr>
          <w:rFonts w:eastAsia="Calibri" w:cs="Times New Roman"/>
          <w:b/>
          <w:bCs/>
          <w:kern w:val="0"/>
          <w:sz w:val="23"/>
          <w:szCs w:val="23"/>
          <w:lang w:eastAsia="en-US"/>
          <w14:ligatures w14:val="none"/>
        </w:rPr>
        <w:t>în țările Uniunii Europene</w:t>
      </w:r>
      <w:r>
        <w:rPr>
          <w:rFonts w:eastAsia="Calibri" w:cs="Times New Roman"/>
          <w:b/>
          <w:bCs/>
          <w:kern w:val="0"/>
          <w:sz w:val="23"/>
          <w:szCs w:val="23"/>
          <w:lang w:eastAsia="en-US"/>
          <w14:ligatures w14:val="none"/>
        </w:rPr>
        <w:t>,</w:t>
      </w:r>
      <w:r w:rsidRPr="002D4978">
        <w:rPr>
          <w:rFonts w:eastAsia="Calibri" w:cs="Times New Roman"/>
          <w:kern w:val="0"/>
          <w:sz w:val="23"/>
          <w:szCs w:val="23"/>
          <w:lang w:eastAsia="en-US"/>
          <w14:ligatures w14:val="none"/>
        </w:rPr>
        <w:t xml:space="preserve"> a rezultat că în țările</w:t>
      </w:r>
      <w:r w:rsidRPr="002D4978">
        <w:rPr>
          <w:rFonts w:eastAsia="Calibri" w:cs="Times New Roman"/>
          <w:b/>
          <w:bCs/>
          <w:kern w:val="0"/>
          <w:sz w:val="23"/>
          <w:szCs w:val="23"/>
          <w:lang w:eastAsia="en-US"/>
          <w14:ligatures w14:val="none"/>
        </w:rPr>
        <w:t xml:space="preserve"> în care s-a introdus interdicția operațiunilor cu numerar, permi</w:t>
      </w:r>
      <w:r>
        <w:rPr>
          <w:rFonts w:eastAsia="Calibri" w:cs="Times New Roman"/>
          <w:b/>
          <w:bCs/>
          <w:kern w:val="0"/>
          <w:sz w:val="23"/>
          <w:szCs w:val="23"/>
          <w:lang w:eastAsia="en-US"/>
          <w14:ligatures w14:val="none"/>
        </w:rPr>
        <w:t>ț</w:t>
      </w:r>
      <w:r w:rsidRPr="002D4978">
        <w:rPr>
          <w:rFonts w:eastAsia="Calibri" w:cs="Times New Roman"/>
          <w:b/>
          <w:bCs/>
          <w:kern w:val="0"/>
          <w:sz w:val="23"/>
          <w:szCs w:val="23"/>
          <w:lang w:eastAsia="en-US"/>
          <w14:ligatures w14:val="none"/>
        </w:rPr>
        <w:t>ându-se numai operațiuni în numerar sub un anumit plafon,</w:t>
      </w:r>
      <w:r w:rsidRPr="002D4978">
        <w:rPr>
          <w:rFonts w:eastAsia="Calibri" w:cs="Times New Roman"/>
          <w:kern w:val="0"/>
          <w:sz w:val="23"/>
          <w:szCs w:val="23"/>
          <w:lang w:eastAsia="en-US"/>
          <w14:ligatures w14:val="none"/>
        </w:rPr>
        <w:t xml:space="preserve"> </w:t>
      </w:r>
      <w:r w:rsidRPr="002D4978">
        <w:rPr>
          <w:rFonts w:eastAsia="Calibri" w:cs="Times New Roman"/>
          <w:b/>
          <w:bCs/>
          <w:kern w:val="0"/>
          <w:sz w:val="23"/>
          <w:szCs w:val="23"/>
          <w:lang w:eastAsia="en-US"/>
          <w14:ligatures w14:val="none"/>
        </w:rPr>
        <w:t xml:space="preserve">evaziunea în domeniul TVA este ridicată. La polul opus, în țările în care nu există interdicția de a se efectua operațiuni în numerar, evaziunea în domeniul TVA este scăzută. </w:t>
      </w:r>
      <w:r>
        <w:rPr>
          <w:rFonts w:eastAsia="Calibri" w:cs="Times New Roman"/>
          <w:kern w:val="0"/>
          <w:sz w:val="23"/>
          <w:szCs w:val="23"/>
          <w:lang w:eastAsia="en-US"/>
          <w14:ligatures w14:val="none"/>
        </w:rPr>
        <w:t xml:space="preserve">Astfel, România care are unul dintre cele mai mici plafoane pentru efectuarea operațiunilor cu numerar, are cea mai mare rată a evaziunii fiscale în domeniul TVA-ului (36,70%). </w:t>
      </w:r>
    </w:p>
    <w:p w14:paraId="2BF3E24B" w14:textId="77777777" w:rsidR="00AE12EE" w:rsidRPr="002D4978" w:rsidRDefault="00AE12EE" w:rsidP="00AE12EE">
      <w:pPr>
        <w:spacing w:after="0" w:line="264" w:lineRule="auto"/>
        <w:ind w:firstLine="720"/>
        <w:jc w:val="both"/>
        <w:rPr>
          <w:rFonts w:eastAsia="Calibri" w:cs="Times New Roman"/>
          <w:kern w:val="0"/>
          <w:sz w:val="23"/>
          <w:szCs w:val="23"/>
          <w:lang w:eastAsia="en-US"/>
          <w14:ligatures w14:val="none"/>
        </w:rPr>
      </w:pPr>
      <w:r w:rsidRPr="002D4978">
        <w:rPr>
          <w:rFonts w:eastAsia="Calibri" w:cs="Times New Roman"/>
          <w:kern w:val="0"/>
          <w:sz w:val="23"/>
          <w:szCs w:val="23"/>
          <w:lang w:eastAsia="en-US"/>
          <w14:ligatures w14:val="none"/>
        </w:rPr>
        <w:t xml:space="preserve">Pe de altă parte, analizând care este </w:t>
      </w:r>
      <w:r w:rsidRPr="002D4978">
        <w:rPr>
          <w:rFonts w:eastAsia="Calibri" w:cs="Times New Roman"/>
          <w:b/>
          <w:bCs/>
          <w:kern w:val="0"/>
          <w:sz w:val="23"/>
          <w:szCs w:val="23"/>
          <w:lang w:eastAsia="en-US"/>
          <w14:ligatures w14:val="none"/>
        </w:rPr>
        <w:t>impactul acestor măsuri asupra cetățenilor și persoanelor juridice care au un comportament corect față de declararea obligațiilor de plată către bugetul de stat</w:t>
      </w:r>
      <w:r w:rsidRPr="002D4978">
        <w:rPr>
          <w:rFonts w:eastAsia="Calibri" w:cs="Times New Roman"/>
          <w:kern w:val="0"/>
          <w:sz w:val="23"/>
          <w:szCs w:val="23"/>
          <w:lang w:eastAsia="en-US"/>
          <w14:ligatures w14:val="none"/>
        </w:rPr>
        <w:t xml:space="preserve"> (categorie în care se încadrează mare parte din cetățenii și persoanele juridice din România), se poate constata că </w:t>
      </w:r>
      <w:r w:rsidRPr="002D4978">
        <w:rPr>
          <w:rFonts w:eastAsia="Calibri" w:cs="Times New Roman"/>
          <w:b/>
          <w:bCs/>
          <w:kern w:val="0"/>
          <w:sz w:val="23"/>
          <w:szCs w:val="23"/>
          <w:lang w:eastAsia="en-US"/>
          <w14:ligatures w14:val="none"/>
        </w:rPr>
        <w:t>interzicerea efectuării de operațiuni de încasări și plăți în numerar</w:t>
      </w:r>
      <w:r w:rsidRPr="002D4978">
        <w:rPr>
          <w:rFonts w:eastAsia="Calibri" w:cs="Times New Roman"/>
          <w:kern w:val="0"/>
          <w:sz w:val="23"/>
          <w:szCs w:val="23"/>
          <w:lang w:eastAsia="en-US"/>
          <w14:ligatures w14:val="none"/>
        </w:rPr>
        <w:t xml:space="preserve"> impusă de  art. 1 alin. (1) din Legea nr. 70/2015 </w:t>
      </w:r>
      <w:r w:rsidRPr="002D4978">
        <w:rPr>
          <w:rFonts w:eastAsia="Calibri" w:cs="Times New Roman"/>
          <w:b/>
          <w:bCs/>
          <w:kern w:val="0"/>
          <w:sz w:val="23"/>
          <w:szCs w:val="23"/>
          <w:lang w:eastAsia="en-US"/>
          <w14:ligatures w14:val="none"/>
        </w:rPr>
        <w:t>are ca efect obligarea tuturor persoanelor de drept public și privat din România</w:t>
      </w:r>
      <w:r w:rsidRPr="002D4978">
        <w:rPr>
          <w:rFonts w:eastAsia="Calibri" w:cs="Times New Roman"/>
          <w:kern w:val="0"/>
          <w:sz w:val="23"/>
          <w:szCs w:val="23"/>
          <w:lang w:eastAsia="en-US"/>
          <w14:ligatures w14:val="none"/>
        </w:rPr>
        <w:t xml:space="preserve">, fie ei cetățeni sau entități cu sau fără personalitate juridică, </w:t>
      </w:r>
      <w:r w:rsidRPr="002D4978">
        <w:rPr>
          <w:rFonts w:eastAsia="Calibri" w:cs="Times New Roman"/>
          <w:b/>
          <w:bCs/>
          <w:kern w:val="0"/>
          <w:sz w:val="23"/>
          <w:szCs w:val="23"/>
          <w:lang w:eastAsia="en-US"/>
          <w14:ligatures w14:val="none"/>
        </w:rPr>
        <w:t xml:space="preserve">să își deschidă un cont bancar pentru a putea desfășura operațiunile de încasări și plăți peste plafonul stabilit ca excepție, </w:t>
      </w:r>
      <w:r w:rsidRPr="002D4978">
        <w:rPr>
          <w:rFonts w:eastAsia="Calibri" w:cs="Times New Roman"/>
          <w:kern w:val="0"/>
          <w:sz w:val="23"/>
          <w:szCs w:val="23"/>
          <w:lang w:eastAsia="en-US"/>
          <w14:ligatures w14:val="none"/>
        </w:rPr>
        <w:t xml:space="preserve">astfel încât să se conformeze dispozițiilor art. 1 alin. (1) din Legea nr. 70/2015 (să efectueze operațiunile prin instrumente de plată fără numerar). </w:t>
      </w:r>
    </w:p>
    <w:p w14:paraId="463D2206" w14:textId="77777777" w:rsidR="00AE12EE" w:rsidRPr="002D4978" w:rsidRDefault="00AE12EE" w:rsidP="00AE12EE">
      <w:pPr>
        <w:spacing w:after="0" w:line="264" w:lineRule="auto"/>
        <w:ind w:firstLine="708"/>
        <w:jc w:val="both"/>
        <w:rPr>
          <w:rFonts w:eastAsia="Calibri" w:cs="Times New Roman"/>
          <w:kern w:val="0"/>
          <w:sz w:val="23"/>
          <w:szCs w:val="23"/>
          <w:lang w:eastAsia="en-US"/>
          <w14:ligatures w14:val="none"/>
        </w:rPr>
      </w:pPr>
      <w:r w:rsidRPr="002D4978">
        <w:rPr>
          <w:rFonts w:eastAsia="Calibri" w:cs="Times New Roman"/>
          <w:kern w:val="0"/>
          <w:sz w:val="23"/>
          <w:szCs w:val="23"/>
          <w:lang w:eastAsia="en-US"/>
          <w14:ligatures w14:val="none"/>
        </w:rPr>
        <w:t xml:space="preserve">Această obligație implicită generată de dispozițiile art. 1 alin. (1) din Legea nr. 70/2015 </w:t>
      </w:r>
      <w:r w:rsidRPr="002D4978">
        <w:rPr>
          <w:rFonts w:eastAsia="Calibri" w:cs="Times New Roman"/>
          <w:b/>
          <w:bCs/>
          <w:kern w:val="0"/>
          <w:sz w:val="23"/>
          <w:szCs w:val="23"/>
          <w:lang w:eastAsia="en-US"/>
          <w14:ligatures w14:val="none"/>
        </w:rPr>
        <w:t>determină aplicarea dispozițiilor Codului Civil în materia contractului de cont curent</w:t>
      </w:r>
      <w:r>
        <w:rPr>
          <w:rFonts w:eastAsia="Calibri" w:cs="Times New Roman"/>
          <w:b/>
          <w:bCs/>
          <w:kern w:val="0"/>
          <w:sz w:val="23"/>
          <w:szCs w:val="23"/>
          <w:lang w:eastAsia="en-US"/>
          <w14:ligatures w14:val="none"/>
        </w:rPr>
        <w:t xml:space="preserve"> (bancar)</w:t>
      </w:r>
      <w:r w:rsidRPr="002D4978">
        <w:rPr>
          <w:rStyle w:val="Referinnotdesubsol"/>
          <w:rFonts w:eastAsia="Calibri" w:cs="Times New Roman"/>
          <w:b/>
          <w:bCs/>
          <w:kern w:val="0"/>
          <w:sz w:val="23"/>
          <w:szCs w:val="23"/>
          <w:lang w:eastAsia="en-US"/>
          <w14:ligatures w14:val="none"/>
        </w:rPr>
        <w:footnoteReference w:id="8"/>
      </w:r>
      <w:r w:rsidRPr="002D4978">
        <w:rPr>
          <w:rFonts w:eastAsia="Calibri" w:cs="Times New Roman"/>
          <w:b/>
          <w:bCs/>
          <w:kern w:val="0"/>
          <w:sz w:val="23"/>
          <w:szCs w:val="23"/>
          <w:lang w:eastAsia="en-US"/>
          <w14:ligatures w14:val="none"/>
        </w:rPr>
        <w:t>.</w:t>
      </w:r>
      <w:r w:rsidRPr="002D4978">
        <w:rPr>
          <w:rFonts w:eastAsia="Calibri" w:cs="Times New Roman"/>
          <w:kern w:val="0"/>
          <w:sz w:val="23"/>
          <w:szCs w:val="23"/>
          <w:lang w:eastAsia="en-US"/>
          <w14:ligatures w14:val="none"/>
        </w:rPr>
        <w:t xml:space="preserve"> </w:t>
      </w:r>
    </w:p>
    <w:p w14:paraId="324F24A9" w14:textId="77777777" w:rsidR="00AE12EE" w:rsidRPr="002D4978" w:rsidRDefault="00AE12EE" w:rsidP="00AE12EE">
      <w:pPr>
        <w:spacing w:after="0" w:line="264" w:lineRule="auto"/>
        <w:ind w:firstLine="720"/>
        <w:jc w:val="both"/>
        <w:rPr>
          <w:rFonts w:eastAsia="Calibri" w:cs="Times New Roman"/>
          <w:b/>
          <w:bCs/>
          <w:kern w:val="0"/>
          <w:sz w:val="23"/>
          <w:szCs w:val="23"/>
          <w:lang w:eastAsia="en-US"/>
          <w14:ligatures w14:val="none"/>
        </w:rPr>
      </w:pPr>
      <w:r w:rsidRPr="002D4978">
        <w:rPr>
          <w:rFonts w:eastAsia="Calibri" w:cs="Times New Roman"/>
          <w:kern w:val="0"/>
          <w:sz w:val="23"/>
          <w:szCs w:val="23"/>
          <w:lang w:eastAsia="en-US"/>
          <w14:ligatures w14:val="none"/>
        </w:rPr>
        <w:t xml:space="preserve">Din analiza coroborată a dispozițiilor art. 2.171 alin. (1) și (2) și art. 2.173 Cod Civil se poate constata că </w:t>
      </w:r>
      <w:r w:rsidRPr="002D4978">
        <w:rPr>
          <w:rFonts w:eastAsia="Calibri" w:cs="Times New Roman"/>
          <w:b/>
          <w:bCs/>
          <w:kern w:val="0"/>
          <w:sz w:val="23"/>
          <w:szCs w:val="23"/>
          <w:u w:val="single"/>
          <w:lang w:eastAsia="en-US"/>
          <w14:ligatures w14:val="none"/>
        </w:rPr>
        <w:t>sumele încasate în contul curent al titularului unui astfel de cont sunt proprietatea</w:t>
      </w:r>
      <w:r w:rsidRPr="002D4978">
        <w:rPr>
          <w:rFonts w:eastAsia="Calibri" w:cs="Times New Roman"/>
          <w:b/>
          <w:bCs/>
          <w:kern w:val="0"/>
          <w:sz w:val="23"/>
          <w:szCs w:val="23"/>
          <w:lang w:eastAsia="en-US"/>
          <w14:ligatures w14:val="none"/>
        </w:rPr>
        <w:t xml:space="preserve"> primitorului (</w:t>
      </w:r>
      <w:r w:rsidRPr="002D4978">
        <w:rPr>
          <w:rFonts w:eastAsia="Calibri" w:cs="Times New Roman"/>
          <w:b/>
          <w:bCs/>
          <w:kern w:val="0"/>
          <w:sz w:val="23"/>
          <w:szCs w:val="23"/>
          <w:u w:val="single"/>
          <w:lang w:eastAsia="en-US"/>
          <w14:ligatures w14:val="none"/>
        </w:rPr>
        <w:t>banca</w:t>
      </w:r>
      <w:r w:rsidRPr="002D4978">
        <w:rPr>
          <w:rFonts w:eastAsia="Calibri" w:cs="Times New Roman"/>
          <w:b/>
          <w:bCs/>
          <w:kern w:val="0"/>
          <w:sz w:val="23"/>
          <w:szCs w:val="23"/>
          <w:lang w:eastAsia="en-US"/>
          <w14:ligatures w14:val="none"/>
        </w:rPr>
        <w:t>), titularul unui astfel de cont  bancar dobândind numai un drept de creanță împotriva băncii la care are contul deschis.</w:t>
      </w:r>
    </w:p>
    <w:p w14:paraId="213E3120" w14:textId="77777777" w:rsidR="00AE12EE" w:rsidRPr="002D4978" w:rsidRDefault="00AE12EE" w:rsidP="00AE12EE">
      <w:pPr>
        <w:spacing w:after="0" w:line="264" w:lineRule="auto"/>
        <w:ind w:firstLine="720"/>
        <w:jc w:val="both"/>
        <w:rPr>
          <w:rFonts w:eastAsia="Calibri" w:cs="Times New Roman"/>
          <w:b/>
          <w:bCs/>
          <w:kern w:val="0"/>
          <w:sz w:val="23"/>
          <w:szCs w:val="23"/>
          <w:lang w:eastAsia="en-US"/>
          <w14:ligatures w14:val="none"/>
        </w:rPr>
      </w:pPr>
      <w:r w:rsidRPr="002D4978">
        <w:rPr>
          <w:rFonts w:eastAsia="Calibri" w:cs="Times New Roman"/>
          <w:kern w:val="0"/>
          <w:sz w:val="23"/>
          <w:szCs w:val="23"/>
          <w:lang w:eastAsia="en-US"/>
          <w14:ligatures w14:val="none"/>
        </w:rPr>
        <w:t xml:space="preserve">Se poate constata astfel că </w:t>
      </w:r>
      <w:r w:rsidRPr="002D4978">
        <w:rPr>
          <w:rFonts w:eastAsia="Calibri" w:cs="Times New Roman"/>
          <w:b/>
          <w:bCs/>
          <w:kern w:val="0"/>
          <w:sz w:val="23"/>
          <w:szCs w:val="23"/>
          <w:lang w:eastAsia="en-US"/>
          <w14:ligatures w14:val="none"/>
        </w:rPr>
        <w:t>prin interzicerea operațiunilor cu numerar</w:t>
      </w:r>
      <w:r w:rsidRPr="002D4978">
        <w:rPr>
          <w:rFonts w:eastAsia="Calibri" w:cs="Times New Roman"/>
          <w:kern w:val="0"/>
          <w:sz w:val="23"/>
          <w:szCs w:val="23"/>
          <w:lang w:eastAsia="en-US"/>
          <w14:ligatures w14:val="none"/>
        </w:rPr>
        <w:t xml:space="preserve"> și permiterea numai ca excepție a efectuării de operațiuni cu numerar în anumite plafoane, </w:t>
      </w:r>
      <w:r w:rsidRPr="002D4978">
        <w:rPr>
          <w:rFonts w:eastAsia="Calibri" w:cs="Times New Roman"/>
          <w:b/>
          <w:bCs/>
          <w:kern w:val="0"/>
          <w:sz w:val="23"/>
          <w:szCs w:val="23"/>
          <w:lang w:eastAsia="en-US"/>
          <w14:ligatures w14:val="none"/>
        </w:rPr>
        <w:t>toți cetățenii României și persoanele juridice au fost obligați să își deschidă conturi bancare și să efectueze majoritatea operațiunilor de încasări prin intermediul acestora.</w:t>
      </w:r>
    </w:p>
    <w:p w14:paraId="69EF6846" w14:textId="77777777" w:rsidR="00AE12EE" w:rsidRPr="002D4978" w:rsidRDefault="00AE12EE" w:rsidP="00AE12EE">
      <w:pPr>
        <w:spacing w:after="0" w:line="264" w:lineRule="auto"/>
        <w:ind w:firstLine="720"/>
        <w:jc w:val="both"/>
        <w:rPr>
          <w:rFonts w:eastAsia="Calibri" w:cs="Times New Roman"/>
          <w:b/>
          <w:bCs/>
          <w:kern w:val="0"/>
          <w:sz w:val="23"/>
          <w:szCs w:val="23"/>
          <w:u w:val="single"/>
          <w:lang w:eastAsia="en-US"/>
          <w14:ligatures w14:val="none"/>
        </w:rPr>
      </w:pPr>
      <w:r w:rsidRPr="002D4978">
        <w:rPr>
          <w:rFonts w:eastAsia="Calibri" w:cs="Times New Roman"/>
          <w:b/>
          <w:bCs/>
          <w:kern w:val="0"/>
          <w:sz w:val="23"/>
          <w:szCs w:val="23"/>
          <w:lang w:eastAsia="en-US"/>
          <w14:ligatures w14:val="none"/>
        </w:rPr>
        <w:t xml:space="preserve">Aceste norme din Legea nr. 70/2015 </w:t>
      </w:r>
      <w:r w:rsidRPr="002D4978">
        <w:rPr>
          <w:rFonts w:eastAsia="Calibri" w:cs="Times New Roman"/>
          <w:b/>
          <w:bCs/>
          <w:kern w:val="0"/>
          <w:sz w:val="23"/>
          <w:szCs w:val="23"/>
          <w:u w:val="single"/>
          <w:lang w:eastAsia="en-US"/>
          <w14:ligatures w14:val="none"/>
        </w:rPr>
        <w:t>au condus în realitate la pierderea dreptului de dispoziție al proprietarului care a devenit regula, nu excepția</w:t>
      </w:r>
      <w:r w:rsidRPr="002D4978">
        <w:rPr>
          <w:rFonts w:eastAsia="Calibri" w:cs="Times New Roman"/>
          <w:kern w:val="0"/>
          <w:sz w:val="23"/>
          <w:szCs w:val="23"/>
          <w:lang w:eastAsia="en-US"/>
          <w14:ligatures w14:val="none"/>
        </w:rPr>
        <w:t xml:space="preserve"> și, pe de altă parte, </w:t>
      </w:r>
      <w:r w:rsidRPr="002D4978">
        <w:rPr>
          <w:rFonts w:eastAsia="Calibri" w:cs="Times New Roman"/>
          <w:b/>
          <w:bCs/>
          <w:kern w:val="0"/>
          <w:sz w:val="23"/>
          <w:szCs w:val="23"/>
          <w:lang w:eastAsia="en-US"/>
          <w14:ligatures w14:val="none"/>
        </w:rPr>
        <w:t xml:space="preserve">au condus </w:t>
      </w:r>
      <w:r w:rsidRPr="002D4978">
        <w:rPr>
          <w:rFonts w:eastAsia="Calibri" w:cs="Times New Roman"/>
          <w:b/>
          <w:bCs/>
          <w:kern w:val="0"/>
          <w:sz w:val="23"/>
          <w:szCs w:val="23"/>
          <w:u w:val="single"/>
          <w:lang w:eastAsia="en-US"/>
          <w14:ligatures w14:val="none"/>
        </w:rPr>
        <w:t>la favorizarea unor entități cu capital privat (băncile) în defavoarea drepturilor cetățeanului.</w:t>
      </w:r>
    </w:p>
    <w:p w14:paraId="2080227E" w14:textId="77777777" w:rsidR="00AE12EE" w:rsidRPr="002D4978" w:rsidRDefault="00AE12EE" w:rsidP="00AE12EE">
      <w:pPr>
        <w:spacing w:after="0" w:line="264" w:lineRule="auto"/>
        <w:ind w:firstLine="720"/>
        <w:jc w:val="both"/>
        <w:rPr>
          <w:rFonts w:eastAsia="Calibri" w:cs="Times New Roman"/>
          <w:b/>
          <w:bCs/>
          <w:kern w:val="0"/>
          <w:sz w:val="23"/>
          <w:szCs w:val="23"/>
          <w:lang w:eastAsia="en-US"/>
          <w14:ligatures w14:val="none"/>
        </w:rPr>
      </w:pPr>
      <w:r w:rsidRPr="002D4978">
        <w:rPr>
          <w:rFonts w:eastAsia="Calibri" w:cs="Times New Roman"/>
          <w:kern w:val="0"/>
          <w:sz w:val="23"/>
          <w:szCs w:val="23"/>
          <w:lang w:eastAsia="en-US"/>
          <w14:ligatures w14:val="none"/>
        </w:rPr>
        <w:t xml:space="preserve">Or, </w:t>
      </w:r>
      <w:r w:rsidRPr="002D4978">
        <w:rPr>
          <w:rFonts w:eastAsia="Calibri" w:cs="Times New Roman"/>
          <w:b/>
          <w:bCs/>
          <w:kern w:val="0"/>
          <w:sz w:val="23"/>
          <w:szCs w:val="23"/>
          <w:lang w:eastAsia="en-US"/>
          <w14:ligatures w14:val="none"/>
        </w:rPr>
        <w:t xml:space="preserve">în contextul geo-politic și social actual, în cazul în care una sau mai multe bănci din România ar intra în incapacitate de plată sau faliment, nenumărați clienți ai acestora pot să rămână fără sumele necesare pentru subzistență, ca urmare a faptului că nu își mai pot realiza creanța pe care o dețin împotriva băncii egală cu soldul creditor al contului curent. </w:t>
      </w:r>
    </w:p>
    <w:p w14:paraId="6EB8062D" w14:textId="77777777" w:rsidR="00AE12EE" w:rsidRPr="002D4978" w:rsidRDefault="00AE12EE" w:rsidP="00AE12EE">
      <w:pPr>
        <w:spacing w:after="0" w:line="264" w:lineRule="auto"/>
        <w:ind w:firstLine="720"/>
        <w:jc w:val="both"/>
        <w:rPr>
          <w:rFonts w:eastAsia="Calibri" w:cs="Times New Roman"/>
          <w:kern w:val="0"/>
          <w:sz w:val="23"/>
          <w:szCs w:val="23"/>
          <w:lang w:eastAsia="en-US"/>
          <w14:ligatures w14:val="none"/>
        </w:rPr>
      </w:pPr>
      <w:r w:rsidRPr="002D4978">
        <w:rPr>
          <w:rFonts w:eastAsia="Calibri" w:cs="Times New Roman"/>
          <w:kern w:val="0"/>
          <w:sz w:val="23"/>
          <w:szCs w:val="23"/>
          <w:lang w:eastAsia="en-US"/>
          <w14:ligatures w14:val="none"/>
        </w:rPr>
        <w:t>Chiar dacă banca respectivă ar avea active suficiente în patrimoniu pentru ca ulterior, la un anumit moment</w:t>
      </w:r>
      <w:r>
        <w:rPr>
          <w:rFonts w:eastAsia="Calibri" w:cs="Times New Roman"/>
          <w:kern w:val="0"/>
          <w:sz w:val="23"/>
          <w:szCs w:val="23"/>
          <w:lang w:eastAsia="en-US"/>
          <w14:ligatures w14:val="none"/>
        </w:rPr>
        <w:t>,</w:t>
      </w:r>
      <w:r w:rsidRPr="002D4978">
        <w:rPr>
          <w:rFonts w:eastAsia="Calibri" w:cs="Times New Roman"/>
          <w:kern w:val="0"/>
          <w:sz w:val="23"/>
          <w:szCs w:val="23"/>
          <w:lang w:eastAsia="en-US"/>
          <w14:ligatures w14:val="none"/>
        </w:rPr>
        <w:t xml:space="preserve"> să plătească clienților săi toate sumele datorate, pe perioada între declararea stării de incapacitate de plată și plata efectivă a sumelor datorate (care poate să însemne luni sau ani), clienții băncii respective sunt lipsiți de disponibilitățile respective, pentru mulți însemnând chiar sumele de bani necesare pentru subzistență. </w:t>
      </w:r>
    </w:p>
    <w:p w14:paraId="24D1D45A" w14:textId="77777777" w:rsidR="00AE12EE" w:rsidRPr="002D4978" w:rsidRDefault="00AE12EE" w:rsidP="00AE12EE">
      <w:pPr>
        <w:spacing w:after="0" w:line="264" w:lineRule="auto"/>
        <w:ind w:firstLine="720"/>
        <w:jc w:val="both"/>
        <w:rPr>
          <w:rFonts w:eastAsia="Calibri" w:cs="Times New Roman"/>
          <w:b/>
          <w:bCs/>
          <w:kern w:val="0"/>
          <w:sz w:val="23"/>
          <w:szCs w:val="23"/>
          <w:u w:val="single"/>
          <w:lang w:eastAsia="en-US"/>
          <w14:ligatures w14:val="none"/>
        </w:rPr>
      </w:pPr>
      <w:r w:rsidRPr="002D4978">
        <w:rPr>
          <w:rFonts w:eastAsia="Calibri" w:cs="Times New Roman"/>
          <w:b/>
          <w:bCs/>
          <w:kern w:val="0"/>
          <w:sz w:val="23"/>
          <w:szCs w:val="23"/>
          <w:u w:val="single"/>
          <w:lang w:eastAsia="en-US"/>
          <w14:ligatures w14:val="none"/>
        </w:rPr>
        <w:t xml:space="preserve">Față de interdicția actuală prevăzută de art. 1 alin. (1) din Legea nr. 70/2015, riscul pierderii sumelor din conturile de cont curent ale clienților băncii (persoane fizice și persoane juridice) nu este un risc asumat benevol, ci este un risc asumat ca urmare a unei norme legale care are ca impact o asemenea obligație de deschidere a unui cont bancar. </w:t>
      </w:r>
    </w:p>
    <w:p w14:paraId="20CC38AB" w14:textId="77777777" w:rsidR="00AE12EE" w:rsidRPr="002D4978" w:rsidRDefault="00AE12EE" w:rsidP="00AE12EE">
      <w:pPr>
        <w:spacing w:after="0" w:line="264" w:lineRule="auto"/>
        <w:ind w:firstLine="720"/>
        <w:jc w:val="both"/>
        <w:rPr>
          <w:rFonts w:eastAsia="Calibri" w:cs="Times New Roman"/>
          <w:kern w:val="0"/>
          <w:sz w:val="23"/>
          <w:szCs w:val="23"/>
          <w:lang w:eastAsia="en-US"/>
          <w14:ligatures w14:val="none"/>
        </w:rPr>
      </w:pPr>
      <w:r w:rsidRPr="002D4978">
        <w:rPr>
          <w:rFonts w:eastAsia="Calibri" w:cs="Times New Roman"/>
          <w:kern w:val="0"/>
          <w:sz w:val="23"/>
          <w:szCs w:val="23"/>
          <w:lang w:eastAsia="en-US"/>
          <w14:ligatures w14:val="none"/>
        </w:rPr>
        <w:t>În cazul în care interdicția stabilită de lege este abrogată, persoanele fizice și juridice care decid din proprie inițiativă să fie titularii unuia sau mai multor conturi bancare își asumă riscul în mod benevol, nu ca urmare a unei constrângeri impuse de stat, efect al legilor în vigoare.</w:t>
      </w:r>
    </w:p>
    <w:p w14:paraId="55A6C5E5" w14:textId="77777777" w:rsidR="00AE12EE" w:rsidRPr="002D4978" w:rsidRDefault="00AE12EE" w:rsidP="00AE12EE">
      <w:pPr>
        <w:spacing w:after="0" w:line="264" w:lineRule="auto"/>
        <w:ind w:firstLine="720"/>
        <w:jc w:val="both"/>
        <w:rPr>
          <w:rFonts w:eastAsia="Calibri" w:cs="Times New Roman"/>
          <w:b/>
          <w:bCs/>
          <w:color w:val="FF0000"/>
          <w:kern w:val="0"/>
          <w:sz w:val="23"/>
          <w:szCs w:val="23"/>
          <w:lang w:eastAsia="en-US"/>
          <w14:ligatures w14:val="none"/>
        </w:rPr>
      </w:pPr>
      <w:r w:rsidRPr="002D4978">
        <w:rPr>
          <w:rFonts w:eastAsia="Calibri" w:cs="Times New Roman"/>
          <w:kern w:val="0"/>
          <w:sz w:val="23"/>
          <w:szCs w:val="23"/>
          <w:lang w:eastAsia="en-US"/>
          <w14:ligatures w14:val="none"/>
        </w:rPr>
        <w:t xml:space="preserve">Mai mult, față de reacția pe care au avut-o băncile în urma adoptării Legii nr. 296/2023 </w:t>
      </w:r>
      <w:r>
        <w:rPr>
          <w:rFonts w:eastAsia="Calibri" w:cs="Times New Roman"/>
          <w:kern w:val="0"/>
          <w:sz w:val="23"/>
          <w:szCs w:val="23"/>
          <w:lang w:eastAsia="en-US"/>
          <w14:ligatures w14:val="none"/>
        </w:rPr>
        <w:t>(</w:t>
      </w:r>
      <w:r w:rsidRPr="002D4978">
        <w:rPr>
          <w:rFonts w:eastAsia="Calibri" w:cs="Times New Roman"/>
          <w:kern w:val="0"/>
          <w:sz w:val="23"/>
          <w:szCs w:val="23"/>
          <w:lang w:eastAsia="en-US"/>
          <w14:ligatures w14:val="none"/>
        </w:rPr>
        <w:t>prin care s-a redus semnificativ plafonul operațiunilor de încasări și plăți care se pot face în numerar</w:t>
      </w:r>
      <w:r>
        <w:rPr>
          <w:rFonts w:eastAsia="Calibri" w:cs="Times New Roman"/>
          <w:kern w:val="0"/>
          <w:sz w:val="23"/>
          <w:szCs w:val="23"/>
          <w:lang w:eastAsia="en-US"/>
          <w14:ligatures w14:val="none"/>
        </w:rPr>
        <w:t>)</w:t>
      </w:r>
      <w:r w:rsidRPr="002D4978">
        <w:rPr>
          <w:rFonts w:eastAsia="Calibri" w:cs="Times New Roman"/>
          <w:kern w:val="0"/>
          <w:sz w:val="23"/>
          <w:szCs w:val="23"/>
          <w:lang w:eastAsia="en-US"/>
          <w14:ligatures w14:val="none"/>
        </w:rPr>
        <w:t xml:space="preserve">, de creștere semnificativă și unilaterală a </w:t>
      </w:r>
      <w:r w:rsidRPr="002D4978">
        <w:rPr>
          <w:rFonts w:eastAsia="Calibri" w:cs="Times New Roman"/>
          <w:b/>
          <w:bCs/>
          <w:kern w:val="0"/>
          <w:sz w:val="23"/>
          <w:szCs w:val="23"/>
          <w:lang w:eastAsia="en-US"/>
          <w14:ligatures w14:val="none"/>
        </w:rPr>
        <w:t>comisioanelor bancare</w:t>
      </w:r>
      <w:r w:rsidRPr="002D4978">
        <w:rPr>
          <w:rFonts w:eastAsia="Calibri" w:cs="Times New Roman"/>
          <w:kern w:val="0"/>
          <w:sz w:val="23"/>
          <w:szCs w:val="23"/>
          <w:lang w:eastAsia="en-US"/>
          <w14:ligatures w14:val="none"/>
        </w:rPr>
        <w:t xml:space="preserve">, se poate constata cum a fost </w:t>
      </w:r>
      <w:r w:rsidRPr="002D4978">
        <w:rPr>
          <w:rFonts w:eastAsia="Calibri" w:cs="Times New Roman"/>
          <w:b/>
          <w:bCs/>
          <w:kern w:val="0"/>
          <w:sz w:val="23"/>
          <w:szCs w:val="23"/>
          <w:lang w:eastAsia="en-US"/>
          <w14:ligatures w14:val="none"/>
        </w:rPr>
        <w:t>afectat patrimoniul  tuturor cetățenilor și persoanelor juridice din România ca urmare a impunerii obligativității acestora de a efectua majoritatea operațiunilor de încasări și plăți prin instrumente de plată fără numerar</w:t>
      </w:r>
      <w:r w:rsidRPr="002D4978">
        <w:rPr>
          <w:rFonts w:eastAsia="Calibri" w:cs="Times New Roman"/>
          <w:kern w:val="0"/>
          <w:sz w:val="23"/>
          <w:szCs w:val="23"/>
          <w:lang w:eastAsia="en-US"/>
          <w14:ligatures w14:val="none"/>
        </w:rPr>
        <w:t xml:space="preserve">. Se poate constata, astfel, că </w:t>
      </w:r>
      <w:r w:rsidRPr="002D4978">
        <w:rPr>
          <w:rFonts w:eastAsia="Calibri" w:cs="Times New Roman"/>
          <w:b/>
          <w:bCs/>
          <w:kern w:val="0"/>
          <w:sz w:val="23"/>
          <w:szCs w:val="23"/>
          <w:lang w:eastAsia="en-US"/>
          <w14:ligatures w14:val="none"/>
        </w:rPr>
        <w:t xml:space="preserve">cetățenii au fost constrânși să plătească comisioane bancare aferente operațiunilor de încasări și plăți efectuate prin bănci, la nivelul celor stabilite în mod unilateral de acestea, comisioane pe care nu ar fi fost obligați să le suporte și nu li s-ar fi diminuat patrimoniul cu contravaloarea lor, în cazul în care ar fi efectuat operațiunile de încasări și plăți în numerar. </w:t>
      </w:r>
    </w:p>
    <w:p w14:paraId="7A02D0DB" w14:textId="77777777" w:rsidR="00AE12EE" w:rsidRPr="002D4978" w:rsidRDefault="00AE12EE" w:rsidP="00AE12EE">
      <w:pPr>
        <w:spacing w:after="0" w:line="264" w:lineRule="auto"/>
        <w:ind w:firstLine="720"/>
        <w:jc w:val="both"/>
        <w:rPr>
          <w:rFonts w:eastAsia="Calibri" w:cs="Times New Roman"/>
          <w:kern w:val="0"/>
          <w:sz w:val="23"/>
          <w:szCs w:val="23"/>
          <w:lang w:eastAsia="en-US"/>
          <w14:ligatures w14:val="none"/>
        </w:rPr>
      </w:pPr>
      <w:r w:rsidRPr="002D4978">
        <w:rPr>
          <w:rFonts w:eastAsia="Calibri" w:cs="Times New Roman"/>
          <w:b/>
          <w:bCs/>
          <w:kern w:val="0"/>
          <w:sz w:val="23"/>
          <w:szCs w:val="23"/>
          <w:lang w:eastAsia="en-US"/>
          <w14:ligatures w14:val="none"/>
        </w:rPr>
        <w:t>În privința operațiunilor de încasări, dreptul de dispoziție</w:t>
      </w:r>
      <w:r w:rsidRPr="002D4978">
        <w:rPr>
          <w:rFonts w:eastAsia="Calibri" w:cs="Times New Roman"/>
          <w:kern w:val="0"/>
          <w:sz w:val="23"/>
          <w:szCs w:val="23"/>
          <w:lang w:eastAsia="en-US"/>
          <w14:ligatures w14:val="none"/>
        </w:rPr>
        <w:t xml:space="preserve"> (dezmembrământ al dreptului de proprietate) </w:t>
      </w:r>
      <w:r w:rsidRPr="002D4978">
        <w:rPr>
          <w:rFonts w:eastAsia="Calibri" w:cs="Times New Roman"/>
          <w:b/>
          <w:bCs/>
          <w:kern w:val="0"/>
          <w:sz w:val="23"/>
          <w:szCs w:val="23"/>
          <w:lang w:eastAsia="en-US"/>
          <w14:ligatures w14:val="none"/>
        </w:rPr>
        <w:t>al cetățenilor și persoanelor juridice asupra creanțelor pe care le aveau de încasat</w:t>
      </w:r>
      <w:r w:rsidRPr="002D4978">
        <w:rPr>
          <w:rFonts w:eastAsia="Calibri" w:cs="Times New Roman"/>
          <w:kern w:val="0"/>
          <w:sz w:val="23"/>
          <w:szCs w:val="23"/>
          <w:lang w:eastAsia="en-US"/>
          <w14:ligatures w14:val="none"/>
        </w:rPr>
        <w:t xml:space="preserve"> de la diverse persoane fizice și juridice</w:t>
      </w:r>
      <w:r w:rsidRPr="002D4978">
        <w:rPr>
          <w:rFonts w:eastAsia="Calibri" w:cs="Times New Roman"/>
          <w:b/>
          <w:bCs/>
          <w:kern w:val="0"/>
          <w:sz w:val="23"/>
          <w:szCs w:val="23"/>
          <w:lang w:eastAsia="en-US"/>
          <w14:ligatures w14:val="none"/>
        </w:rPr>
        <w:t>, a fost negat</w:t>
      </w:r>
      <w:r w:rsidRPr="002D4978">
        <w:rPr>
          <w:rFonts w:eastAsia="Calibri" w:cs="Times New Roman"/>
          <w:kern w:val="0"/>
          <w:sz w:val="23"/>
          <w:szCs w:val="23"/>
          <w:lang w:eastAsia="en-US"/>
          <w14:ligatures w14:val="none"/>
        </w:rPr>
        <w:t xml:space="preserve">, ca urmare a faptului că </w:t>
      </w:r>
      <w:r w:rsidRPr="002D4978">
        <w:rPr>
          <w:rFonts w:eastAsia="Calibri" w:cs="Times New Roman"/>
          <w:b/>
          <w:bCs/>
          <w:kern w:val="0"/>
          <w:sz w:val="23"/>
          <w:szCs w:val="23"/>
          <w:lang w:eastAsia="en-US"/>
          <w14:ligatures w14:val="none"/>
        </w:rPr>
        <w:t>acești nu aveau dreptul să dispună încasarea sumelor aferente acestor creanțe în patrimoniul lor, ci au fost obligați să dea dispoziție ca sumele să fie încasate în conturile bancare și să intre disponibilitățile în proprietatea băncii la care aveau contul deschis,</w:t>
      </w:r>
      <w:r w:rsidRPr="002D4978">
        <w:rPr>
          <w:rFonts w:eastAsia="Calibri" w:cs="Times New Roman"/>
          <w:kern w:val="0"/>
          <w:sz w:val="23"/>
          <w:szCs w:val="23"/>
          <w:lang w:eastAsia="en-US"/>
          <w14:ligatures w14:val="none"/>
        </w:rPr>
        <w:t xml:space="preserve"> dobândind astfel un drept de creanță asupra băncii respective. Practic, la data la care li se achitau creanțele deținute împotriva unor persoane fizice și juridice, în loc ca sumele de bani aferente acestora să intre în patrimoniul lor, ca urmare a dispozițiilor legale, aceștia primeau numai un alt drept de creanță împotriva băncii la care dețineau contul bancar. </w:t>
      </w:r>
    </w:p>
    <w:p w14:paraId="59136CA0" w14:textId="77777777" w:rsidR="00AE12EE" w:rsidRPr="002D4978" w:rsidRDefault="00AE12EE" w:rsidP="00AE12EE">
      <w:pPr>
        <w:spacing w:after="0" w:line="264" w:lineRule="auto"/>
        <w:ind w:firstLine="720"/>
        <w:jc w:val="both"/>
        <w:rPr>
          <w:rFonts w:eastAsia="Calibri" w:cs="Times New Roman"/>
          <w:kern w:val="0"/>
          <w:sz w:val="23"/>
          <w:szCs w:val="23"/>
          <w:lang w:eastAsia="en-US"/>
          <w14:ligatures w14:val="none"/>
        </w:rPr>
      </w:pPr>
      <w:r w:rsidRPr="002D4978">
        <w:rPr>
          <w:rFonts w:eastAsia="Calibri" w:cs="Times New Roman"/>
          <w:kern w:val="0"/>
          <w:sz w:val="23"/>
          <w:szCs w:val="23"/>
          <w:lang w:eastAsia="en-US"/>
          <w14:ligatures w14:val="none"/>
        </w:rPr>
        <w:t xml:space="preserve">Totodată, </w:t>
      </w:r>
      <w:r w:rsidRPr="002D4978">
        <w:rPr>
          <w:rFonts w:eastAsia="Calibri" w:cs="Times New Roman"/>
          <w:b/>
          <w:bCs/>
          <w:kern w:val="0"/>
          <w:sz w:val="23"/>
          <w:szCs w:val="23"/>
          <w:lang w:eastAsia="en-US"/>
          <w14:ligatures w14:val="none"/>
        </w:rPr>
        <w:t>în privința operațiunilor de plată, dreptul de dispoziție al cetățenilor și persoanelor juridice este condiționat de voința băncii la care aceștia dețin contul bancar, deoarece procesarea ordinului de plată depinde exclusiv de voința băncii.</w:t>
      </w:r>
      <w:r w:rsidRPr="002D4978">
        <w:rPr>
          <w:rFonts w:eastAsia="Calibri" w:cs="Times New Roman"/>
          <w:kern w:val="0"/>
          <w:sz w:val="23"/>
          <w:szCs w:val="23"/>
          <w:lang w:eastAsia="en-US"/>
          <w14:ligatures w14:val="none"/>
        </w:rPr>
        <w:t xml:space="preserve"> </w:t>
      </w:r>
    </w:p>
    <w:p w14:paraId="593B14C2" w14:textId="77777777" w:rsidR="00AE12EE" w:rsidRPr="002D4978" w:rsidRDefault="00AE12EE" w:rsidP="00AE12EE">
      <w:pPr>
        <w:spacing w:after="0" w:line="264" w:lineRule="auto"/>
        <w:ind w:firstLine="720"/>
        <w:jc w:val="both"/>
        <w:rPr>
          <w:rFonts w:eastAsia="Calibri" w:cs="Times New Roman"/>
          <w:b/>
          <w:bCs/>
          <w:kern w:val="0"/>
          <w:sz w:val="23"/>
          <w:szCs w:val="23"/>
          <w:u w:val="single"/>
          <w:lang w:eastAsia="en-US"/>
          <w14:ligatures w14:val="none"/>
        </w:rPr>
      </w:pPr>
      <w:r w:rsidRPr="002D4978">
        <w:rPr>
          <w:rFonts w:eastAsia="Calibri" w:cs="Times New Roman"/>
          <w:kern w:val="0"/>
          <w:sz w:val="23"/>
          <w:szCs w:val="23"/>
          <w:lang w:eastAsia="en-US"/>
          <w14:ligatures w14:val="none"/>
        </w:rPr>
        <w:t xml:space="preserve">Toate acestea </w:t>
      </w:r>
      <w:r w:rsidRPr="002D4978">
        <w:rPr>
          <w:rFonts w:eastAsia="Calibri" w:cs="Times New Roman"/>
          <w:b/>
          <w:bCs/>
          <w:kern w:val="0"/>
          <w:sz w:val="23"/>
          <w:szCs w:val="23"/>
          <w:u w:val="single"/>
          <w:lang w:eastAsia="en-US"/>
          <w14:ligatures w14:val="none"/>
        </w:rPr>
        <w:t xml:space="preserve">dovedesc că măsurile impuse în scopul combaterii evaziunii fiscale nu și-au dovedit eficiența, iar dreptul de dispoziție al cetățenilor asupra banilor care li se </w:t>
      </w:r>
      <w:r>
        <w:rPr>
          <w:rFonts w:eastAsia="Calibri" w:cs="Times New Roman"/>
          <w:b/>
          <w:bCs/>
          <w:kern w:val="0"/>
          <w:sz w:val="23"/>
          <w:szCs w:val="23"/>
          <w:u w:val="single"/>
          <w:lang w:eastAsia="en-US"/>
          <w14:ligatures w14:val="none"/>
        </w:rPr>
        <w:t>cuvin</w:t>
      </w:r>
      <w:r w:rsidRPr="002D4978">
        <w:rPr>
          <w:rFonts w:eastAsia="Calibri" w:cs="Times New Roman"/>
          <w:b/>
          <w:bCs/>
          <w:kern w:val="0"/>
          <w:sz w:val="23"/>
          <w:szCs w:val="23"/>
          <w:u w:val="single"/>
          <w:lang w:eastAsia="en-US"/>
          <w14:ligatures w14:val="none"/>
        </w:rPr>
        <w:t xml:space="preserve"> pentru creanțele pe care le </w:t>
      </w:r>
      <w:r>
        <w:rPr>
          <w:rFonts w:eastAsia="Calibri" w:cs="Times New Roman"/>
          <w:b/>
          <w:bCs/>
          <w:kern w:val="0"/>
          <w:sz w:val="23"/>
          <w:szCs w:val="23"/>
          <w:u w:val="single"/>
          <w:lang w:eastAsia="en-US"/>
          <w14:ligatures w14:val="none"/>
        </w:rPr>
        <w:t>dețin</w:t>
      </w:r>
      <w:r w:rsidRPr="002D4978">
        <w:rPr>
          <w:rFonts w:eastAsia="Calibri" w:cs="Times New Roman"/>
          <w:b/>
          <w:bCs/>
          <w:kern w:val="0"/>
          <w:sz w:val="23"/>
          <w:szCs w:val="23"/>
          <w:u w:val="single"/>
          <w:lang w:eastAsia="en-US"/>
          <w14:ligatures w14:val="none"/>
        </w:rPr>
        <w:t xml:space="preserve"> sau se </w:t>
      </w:r>
      <w:r>
        <w:rPr>
          <w:rFonts w:eastAsia="Calibri" w:cs="Times New Roman"/>
          <w:b/>
          <w:bCs/>
          <w:kern w:val="0"/>
          <w:sz w:val="23"/>
          <w:szCs w:val="23"/>
          <w:u w:val="single"/>
          <w:lang w:eastAsia="en-US"/>
          <w14:ligatures w14:val="none"/>
        </w:rPr>
        <w:t>află</w:t>
      </w:r>
      <w:r w:rsidRPr="002D4978">
        <w:rPr>
          <w:rFonts w:eastAsia="Calibri" w:cs="Times New Roman"/>
          <w:b/>
          <w:bCs/>
          <w:kern w:val="0"/>
          <w:sz w:val="23"/>
          <w:szCs w:val="23"/>
          <w:u w:val="single"/>
          <w:lang w:eastAsia="en-US"/>
          <w14:ligatures w14:val="none"/>
        </w:rPr>
        <w:t xml:space="preserve"> în conturile lor bancare </w:t>
      </w:r>
      <w:r>
        <w:rPr>
          <w:rFonts w:eastAsia="Calibri" w:cs="Times New Roman"/>
          <w:b/>
          <w:bCs/>
          <w:kern w:val="0"/>
          <w:sz w:val="23"/>
          <w:szCs w:val="23"/>
          <w:u w:val="single"/>
          <w:lang w:eastAsia="en-US"/>
          <w14:ligatures w14:val="none"/>
        </w:rPr>
        <w:t>este</w:t>
      </w:r>
      <w:r w:rsidRPr="002D4978">
        <w:rPr>
          <w:rFonts w:eastAsia="Calibri" w:cs="Times New Roman"/>
          <w:b/>
          <w:bCs/>
          <w:kern w:val="0"/>
          <w:sz w:val="23"/>
          <w:szCs w:val="23"/>
          <w:u w:val="single"/>
          <w:lang w:eastAsia="en-US"/>
          <w14:ligatures w14:val="none"/>
        </w:rPr>
        <w:t xml:space="preserve"> afectat prin cedarea lui către băncile la care </w:t>
      </w:r>
      <w:r>
        <w:rPr>
          <w:rFonts w:eastAsia="Calibri" w:cs="Times New Roman"/>
          <w:b/>
          <w:bCs/>
          <w:kern w:val="0"/>
          <w:sz w:val="23"/>
          <w:szCs w:val="23"/>
          <w:u w:val="single"/>
          <w:lang w:eastAsia="en-US"/>
          <w14:ligatures w14:val="none"/>
        </w:rPr>
        <w:t>dețin</w:t>
      </w:r>
      <w:r w:rsidRPr="002D4978">
        <w:rPr>
          <w:rFonts w:eastAsia="Calibri" w:cs="Times New Roman"/>
          <w:b/>
          <w:bCs/>
          <w:kern w:val="0"/>
          <w:sz w:val="23"/>
          <w:szCs w:val="23"/>
          <w:u w:val="single"/>
          <w:lang w:eastAsia="en-US"/>
          <w14:ligatures w14:val="none"/>
        </w:rPr>
        <w:t xml:space="preserve"> conturile bancare. </w:t>
      </w:r>
    </w:p>
    <w:p w14:paraId="4A984020" w14:textId="77777777" w:rsidR="00AE12EE" w:rsidRPr="002D4978" w:rsidRDefault="00AE12EE" w:rsidP="00AE12EE">
      <w:pPr>
        <w:shd w:val="clear" w:color="auto" w:fill="FFFFFF"/>
        <w:jc w:val="both"/>
        <w:rPr>
          <w:rFonts w:eastAsia="Calibri" w:cs="Times New Roman"/>
          <w:b/>
          <w:bCs/>
          <w:kern w:val="0"/>
          <w:sz w:val="23"/>
          <w:szCs w:val="23"/>
          <w:u w:val="single"/>
          <w:lang w:eastAsia="en-US"/>
          <w14:ligatures w14:val="none"/>
        </w:rPr>
      </w:pPr>
      <w:r w:rsidRPr="002D4978">
        <w:rPr>
          <w:rFonts w:eastAsia="Calibri" w:cs="Times New Roman"/>
          <w:color w:val="FF0000"/>
          <w:kern w:val="0"/>
          <w:sz w:val="23"/>
          <w:szCs w:val="23"/>
          <w:lang w:eastAsia="en-US"/>
          <w14:ligatures w14:val="none"/>
        </w:rPr>
        <w:tab/>
      </w:r>
      <w:r>
        <w:rPr>
          <w:rFonts w:eastAsia="Calibri" w:cs="Times New Roman"/>
          <w:b/>
          <w:bCs/>
          <w:kern w:val="0"/>
          <w:sz w:val="23"/>
          <w:szCs w:val="23"/>
          <w:lang w:eastAsia="en-US"/>
          <w14:ligatures w14:val="none"/>
        </w:rPr>
        <w:t>În concluzie,</w:t>
      </w:r>
      <w:r w:rsidRPr="002D4978">
        <w:rPr>
          <w:rFonts w:eastAsia="Calibri" w:cs="Times New Roman"/>
          <w:b/>
          <w:bCs/>
          <w:kern w:val="0"/>
          <w:sz w:val="23"/>
          <w:szCs w:val="23"/>
          <w:lang w:eastAsia="en-US"/>
          <w14:ligatures w14:val="none"/>
        </w:rPr>
        <w:t xml:space="preserve"> regula interzicerii operațiunilor cu numerar (cu cash) este ineficientă pentru atingerea scopului declarat (combaterea evaziunii fiscale), efectul acestei măsuri conducând chiar la creșterea evaziunii fiscale și nu se justifică îngrădirea drepturilor cetățenilor sub un fals pretext</w:t>
      </w:r>
      <w:r w:rsidRPr="002D4978">
        <w:rPr>
          <w:rFonts w:eastAsia="Calibri" w:cs="Times New Roman"/>
          <w:kern w:val="0"/>
          <w:sz w:val="23"/>
          <w:szCs w:val="23"/>
          <w:lang w:eastAsia="en-US"/>
          <w14:ligatures w14:val="none"/>
        </w:rPr>
        <w:t xml:space="preserve">, </w:t>
      </w:r>
      <w:r w:rsidRPr="002D4978">
        <w:rPr>
          <w:rFonts w:eastAsia="Calibri" w:cs="Times New Roman"/>
          <w:b/>
          <w:bCs/>
          <w:kern w:val="0"/>
          <w:sz w:val="23"/>
          <w:szCs w:val="23"/>
          <w:u w:val="single"/>
          <w:lang w:eastAsia="en-US"/>
          <w14:ligatures w14:val="none"/>
        </w:rPr>
        <w:t xml:space="preserve">motiv pentru care se impune abrogarea Legii nr. 70/2015 și, în consecință, adoptarea proiectului de lege PL-x nr. 53/2024. </w:t>
      </w:r>
    </w:p>
    <w:p w14:paraId="4DE0E9CF" w14:textId="77777777" w:rsidR="00AE12EE" w:rsidRPr="002D4978" w:rsidRDefault="00AE12EE" w:rsidP="00AE12EE">
      <w:pPr>
        <w:shd w:val="clear" w:color="auto" w:fill="FFFFFF"/>
        <w:jc w:val="both"/>
        <w:rPr>
          <w:rFonts w:ascii="inherit" w:hAnsi="inherit" w:cs="Segoe UI Historic"/>
          <w:b/>
          <w:bCs/>
          <w:color w:val="050505"/>
          <w:sz w:val="23"/>
          <w:szCs w:val="23"/>
        </w:rPr>
      </w:pPr>
      <w:r w:rsidRPr="002D4978">
        <w:rPr>
          <w:rFonts w:eastAsia="Calibri" w:cs="Times New Roman"/>
          <w:b/>
          <w:bCs/>
          <w:kern w:val="0"/>
          <w:sz w:val="23"/>
          <w:szCs w:val="23"/>
          <w:lang w:eastAsia="en-US"/>
          <w14:ligatures w14:val="none"/>
        </w:rPr>
        <w:tab/>
        <w:t xml:space="preserve">Menționez că, în </w:t>
      </w:r>
      <w:r w:rsidRPr="002D4978">
        <w:rPr>
          <w:rFonts w:eastAsia="Calibri" w:cs="Times New Roman"/>
          <w:b/>
          <w:bCs/>
          <w:kern w:val="0"/>
          <w:sz w:val="23"/>
          <w:szCs w:val="23"/>
          <w:u w:val="single"/>
          <w:lang w:eastAsia="en-US"/>
          <w14:ligatures w14:val="none"/>
        </w:rPr>
        <w:t>unanimitate,</w:t>
      </w:r>
      <w:r w:rsidRPr="002D4978">
        <w:rPr>
          <w:rFonts w:eastAsia="Calibri" w:cs="Times New Roman"/>
          <w:b/>
          <w:bCs/>
          <w:kern w:val="0"/>
          <w:sz w:val="23"/>
          <w:szCs w:val="23"/>
          <w:lang w:eastAsia="en-US"/>
          <w14:ligatures w14:val="none"/>
        </w:rPr>
        <w:t xml:space="preserve"> Comisia juridică, de disciplină și imunități a Camerei Deputaților a </w:t>
      </w:r>
      <w:r w:rsidRPr="002D4978">
        <w:rPr>
          <w:rFonts w:eastAsia="Calibri" w:cs="Times New Roman"/>
          <w:b/>
          <w:bCs/>
          <w:kern w:val="0"/>
          <w:sz w:val="23"/>
          <w:szCs w:val="23"/>
          <w:u w:val="single"/>
          <w:lang w:eastAsia="en-US"/>
          <w14:ligatures w14:val="none"/>
        </w:rPr>
        <w:t>dat aviz favorabil</w:t>
      </w:r>
      <w:r w:rsidRPr="002D4978">
        <w:rPr>
          <w:rFonts w:eastAsia="Calibri" w:cs="Times New Roman"/>
          <w:b/>
          <w:bCs/>
          <w:kern w:val="0"/>
          <w:sz w:val="23"/>
          <w:szCs w:val="23"/>
          <w:lang w:eastAsia="en-US"/>
          <w14:ligatures w14:val="none"/>
        </w:rPr>
        <w:t xml:space="preserve"> acestui proiect de lege</w:t>
      </w:r>
      <w:r w:rsidRPr="002D4978">
        <w:rPr>
          <w:rStyle w:val="Referinnotdesubsol"/>
          <w:rFonts w:eastAsia="Calibri" w:cs="Times New Roman"/>
          <w:b/>
          <w:bCs/>
          <w:kern w:val="0"/>
          <w:sz w:val="23"/>
          <w:szCs w:val="23"/>
          <w:lang w:eastAsia="en-US"/>
          <w14:ligatures w14:val="none"/>
        </w:rPr>
        <w:footnoteReference w:id="9"/>
      </w:r>
      <w:r w:rsidRPr="002D4978">
        <w:rPr>
          <w:rFonts w:eastAsia="Calibri" w:cs="Times New Roman"/>
          <w:b/>
          <w:bCs/>
          <w:kern w:val="0"/>
          <w:sz w:val="23"/>
          <w:szCs w:val="23"/>
          <w:lang w:eastAsia="en-US"/>
          <w14:ligatures w14:val="none"/>
        </w:rPr>
        <w:t xml:space="preserve">. </w:t>
      </w:r>
    </w:p>
    <w:p w14:paraId="48769067" w14:textId="7784A44B" w:rsidR="00AE12EE" w:rsidRPr="002D4978" w:rsidRDefault="00AE12EE" w:rsidP="00AE12EE">
      <w:pPr>
        <w:spacing w:after="0" w:line="288" w:lineRule="auto"/>
        <w:jc w:val="both"/>
        <w:rPr>
          <w:sz w:val="23"/>
          <w:szCs w:val="23"/>
        </w:rPr>
      </w:pPr>
      <w:r w:rsidRPr="002D4978">
        <w:rPr>
          <w:sz w:val="23"/>
          <w:szCs w:val="23"/>
        </w:rPr>
        <w:tab/>
        <w:t xml:space="preserve"> </w:t>
      </w:r>
    </w:p>
    <w:p w14:paraId="078E8FF8" w14:textId="77777777" w:rsidR="00AE12EE" w:rsidRPr="002D4978" w:rsidRDefault="00AE12EE" w:rsidP="00AE12EE">
      <w:pPr>
        <w:spacing w:after="0" w:line="288" w:lineRule="auto"/>
        <w:jc w:val="both"/>
        <w:rPr>
          <w:sz w:val="23"/>
          <w:szCs w:val="23"/>
        </w:rPr>
      </w:pPr>
    </w:p>
    <w:p w14:paraId="5D4034C9" w14:textId="6C7D7016" w:rsidR="00AE12EE" w:rsidRDefault="00AE12EE" w:rsidP="00AE12EE">
      <w:pPr>
        <w:spacing w:after="0" w:line="288" w:lineRule="auto"/>
        <w:jc w:val="right"/>
        <w:rPr>
          <w:b/>
          <w:bCs/>
          <w:i/>
          <w:iCs/>
          <w:sz w:val="23"/>
          <w:szCs w:val="23"/>
        </w:rPr>
      </w:pPr>
      <w:r w:rsidRPr="002D4978">
        <w:rPr>
          <w:b/>
          <w:bCs/>
          <w:i/>
          <w:iCs/>
          <w:sz w:val="23"/>
          <w:szCs w:val="23"/>
        </w:rPr>
        <w:t xml:space="preserve">În speranța că opinia mea de cetățean </w:t>
      </w:r>
      <w:r w:rsidR="008158D5">
        <w:rPr>
          <w:b/>
          <w:bCs/>
          <w:i/>
          <w:iCs/>
          <w:sz w:val="23"/>
          <w:szCs w:val="23"/>
        </w:rPr>
        <w:t xml:space="preserve">român </w:t>
      </w:r>
      <w:r w:rsidRPr="002D4978">
        <w:rPr>
          <w:b/>
          <w:bCs/>
          <w:i/>
          <w:iCs/>
          <w:sz w:val="23"/>
          <w:szCs w:val="23"/>
        </w:rPr>
        <w:t xml:space="preserve">contează </w:t>
      </w:r>
    </w:p>
    <w:p w14:paraId="0335DAB0" w14:textId="3131C430" w:rsidR="00AE12EE" w:rsidRPr="002D4978" w:rsidRDefault="00AE12EE" w:rsidP="00AE12EE">
      <w:pPr>
        <w:spacing w:after="0" w:line="288" w:lineRule="auto"/>
        <w:jc w:val="right"/>
        <w:rPr>
          <w:b/>
          <w:bCs/>
          <w:i/>
          <w:iCs/>
          <w:sz w:val="23"/>
          <w:szCs w:val="23"/>
        </w:rPr>
      </w:pPr>
      <w:r>
        <w:rPr>
          <w:b/>
          <w:bCs/>
          <w:i/>
          <w:iCs/>
          <w:sz w:val="23"/>
          <w:szCs w:val="23"/>
        </w:rPr>
        <w:t xml:space="preserve">pentru deputatul care mă reprezintă în Parlamentul României, </w:t>
      </w:r>
    </w:p>
    <w:p w14:paraId="6EC0C0D3" w14:textId="77777777" w:rsidR="00AE12EE" w:rsidRDefault="00AE12EE" w:rsidP="00AE12EE">
      <w:pPr>
        <w:spacing w:after="0" w:line="288" w:lineRule="auto"/>
        <w:jc w:val="right"/>
        <w:rPr>
          <w:b/>
          <w:bCs/>
          <w:i/>
          <w:iCs/>
          <w:sz w:val="23"/>
          <w:szCs w:val="23"/>
        </w:rPr>
      </w:pPr>
    </w:p>
    <w:p w14:paraId="73B25F00" w14:textId="77777777" w:rsidR="00AE12EE" w:rsidRPr="002D4978" w:rsidRDefault="00AE12EE" w:rsidP="00AE12EE">
      <w:pPr>
        <w:spacing w:after="0" w:line="288" w:lineRule="auto"/>
        <w:jc w:val="right"/>
        <w:rPr>
          <w:b/>
          <w:bCs/>
          <w:i/>
          <w:iCs/>
          <w:sz w:val="23"/>
          <w:szCs w:val="23"/>
        </w:rPr>
      </w:pPr>
      <w:r w:rsidRPr="002D4978">
        <w:rPr>
          <w:b/>
          <w:bCs/>
          <w:i/>
          <w:iCs/>
          <w:sz w:val="23"/>
          <w:szCs w:val="23"/>
        </w:rPr>
        <w:t xml:space="preserve">Cu stimă, </w:t>
      </w:r>
    </w:p>
    <w:p w14:paraId="1CF3890D" w14:textId="77777777" w:rsidR="00AE12EE" w:rsidRPr="002D4978" w:rsidRDefault="00AE12EE" w:rsidP="00AE12EE">
      <w:pPr>
        <w:spacing w:after="0" w:line="288" w:lineRule="auto"/>
        <w:jc w:val="right"/>
        <w:rPr>
          <w:b/>
          <w:bCs/>
          <w:i/>
          <w:iCs/>
          <w:sz w:val="23"/>
          <w:szCs w:val="23"/>
        </w:rPr>
      </w:pPr>
    </w:p>
    <w:p w14:paraId="45DD698D" w14:textId="77777777" w:rsidR="00AE12EE" w:rsidRPr="002D4978" w:rsidRDefault="00AE12EE" w:rsidP="00AE12EE">
      <w:pPr>
        <w:spacing w:after="0" w:line="288" w:lineRule="auto"/>
        <w:rPr>
          <w:sz w:val="23"/>
          <w:szCs w:val="23"/>
        </w:rPr>
      </w:pPr>
      <w:r w:rsidRPr="002D4978">
        <w:rPr>
          <w:b/>
          <w:bCs/>
          <w:sz w:val="23"/>
          <w:szCs w:val="23"/>
        </w:rPr>
        <w:t xml:space="preserve">Data, </w:t>
      </w:r>
      <w:r w:rsidRPr="002D4978">
        <w:rPr>
          <w:b/>
          <w:bCs/>
          <w:sz w:val="23"/>
          <w:szCs w:val="23"/>
        </w:rPr>
        <w:tab/>
      </w:r>
      <w:r w:rsidRPr="002D4978">
        <w:rPr>
          <w:b/>
          <w:bCs/>
          <w:sz w:val="23"/>
          <w:szCs w:val="23"/>
        </w:rPr>
        <w:tab/>
      </w:r>
      <w:r w:rsidRPr="002D4978">
        <w:rPr>
          <w:b/>
          <w:bCs/>
          <w:sz w:val="23"/>
          <w:szCs w:val="23"/>
        </w:rPr>
        <w:tab/>
      </w:r>
      <w:r w:rsidRPr="002D4978">
        <w:rPr>
          <w:b/>
          <w:bCs/>
          <w:sz w:val="23"/>
          <w:szCs w:val="23"/>
        </w:rPr>
        <w:tab/>
      </w:r>
      <w:r w:rsidRPr="002D4978">
        <w:rPr>
          <w:b/>
          <w:bCs/>
          <w:sz w:val="23"/>
          <w:szCs w:val="23"/>
        </w:rPr>
        <w:tab/>
      </w:r>
      <w:r w:rsidRPr="002D4978">
        <w:rPr>
          <w:b/>
          <w:bCs/>
          <w:sz w:val="23"/>
          <w:szCs w:val="23"/>
        </w:rPr>
        <w:tab/>
      </w:r>
      <w:r w:rsidRPr="002D4978">
        <w:rPr>
          <w:b/>
          <w:bCs/>
          <w:sz w:val="23"/>
          <w:szCs w:val="23"/>
        </w:rPr>
        <w:tab/>
      </w:r>
      <w:r w:rsidRPr="002D4978">
        <w:rPr>
          <w:b/>
          <w:bCs/>
          <w:sz w:val="23"/>
          <w:szCs w:val="23"/>
        </w:rPr>
        <w:tab/>
      </w:r>
      <w:r w:rsidRPr="002D4978">
        <w:rPr>
          <w:b/>
          <w:bCs/>
          <w:sz w:val="23"/>
          <w:szCs w:val="23"/>
        </w:rPr>
        <w:tab/>
      </w:r>
      <w:r w:rsidRPr="002D4978">
        <w:rPr>
          <w:b/>
          <w:bCs/>
          <w:sz w:val="23"/>
          <w:szCs w:val="23"/>
        </w:rPr>
        <w:tab/>
      </w:r>
      <w:r w:rsidRPr="002D4978">
        <w:rPr>
          <w:b/>
          <w:bCs/>
          <w:sz w:val="23"/>
          <w:szCs w:val="23"/>
        </w:rPr>
        <w:tab/>
        <w:t xml:space="preserve">Semnătura, </w:t>
      </w:r>
      <w:r w:rsidRPr="002D4978">
        <w:rPr>
          <w:sz w:val="23"/>
          <w:szCs w:val="23"/>
        </w:rPr>
        <w:t>.......</w:t>
      </w:r>
      <w:r w:rsidRPr="002D4978">
        <w:rPr>
          <w:sz w:val="23"/>
          <w:szCs w:val="23"/>
        </w:rPr>
        <w:tab/>
      </w:r>
      <w:r w:rsidRPr="002D4978">
        <w:rPr>
          <w:sz w:val="23"/>
          <w:szCs w:val="23"/>
        </w:rPr>
        <w:tab/>
      </w:r>
      <w:r w:rsidRPr="002D4978">
        <w:rPr>
          <w:sz w:val="23"/>
          <w:szCs w:val="23"/>
        </w:rPr>
        <w:tab/>
      </w:r>
      <w:r w:rsidRPr="002D4978">
        <w:rPr>
          <w:sz w:val="23"/>
          <w:szCs w:val="23"/>
        </w:rPr>
        <w:tab/>
      </w:r>
      <w:r w:rsidRPr="002D4978">
        <w:rPr>
          <w:sz w:val="23"/>
          <w:szCs w:val="23"/>
        </w:rPr>
        <w:tab/>
      </w:r>
      <w:r w:rsidRPr="002D4978">
        <w:rPr>
          <w:sz w:val="23"/>
          <w:szCs w:val="23"/>
        </w:rPr>
        <w:tab/>
      </w:r>
      <w:r w:rsidRPr="002D4978">
        <w:rPr>
          <w:sz w:val="23"/>
          <w:szCs w:val="23"/>
        </w:rPr>
        <w:tab/>
      </w:r>
      <w:r w:rsidRPr="002D4978">
        <w:rPr>
          <w:sz w:val="23"/>
          <w:szCs w:val="23"/>
        </w:rPr>
        <w:tab/>
      </w:r>
      <w:r w:rsidRPr="002D4978">
        <w:rPr>
          <w:sz w:val="23"/>
          <w:szCs w:val="23"/>
        </w:rPr>
        <w:tab/>
      </w:r>
      <w:r w:rsidRPr="002D4978">
        <w:rPr>
          <w:sz w:val="23"/>
          <w:szCs w:val="23"/>
        </w:rPr>
        <w:tab/>
      </w:r>
      <w:r w:rsidRPr="002D4978">
        <w:rPr>
          <w:sz w:val="23"/>
          <w:szCs w:val="23"/>
        </w:rPr>
        <w:tab/>
        <w:t>.........</w:t>
      </w:r>
      <w:r w:rsidRPr="002D4978">
        <w:rPr>
          <w:sz w:val="23"/>
          <w:szCs w:val="23"/>
        </w:rPr>
        <w:tab/>
      </w:r>
    </w:p>
    <w:p w14:paraId="7B6F596A" w14:textId="77777777" w:rsidR="0047095B" w:rsidRPr="00E11873" w:rsidRDefault="0047095B" w:rsidP="00E11873">
      <w:pPr>
        <w:shd w:val="clear" w:color="auto" w:fill="FFFFFF"/>
        <w:jc w:val="both"/>
        <w:rPr>
          <w:rFonts w:ascii="inherit" w:hAnsi="inherit" w:cs="Segoe UI Historic"/>
          <w:b/>
          <w:bCs/>
          <w:color w:val="050505"/>
          <w:sz w:val="23"/>
          <w:szCs w:val="23"/>
          <w:u w:val="single"/>
        </w:rPr>
      </w:pPr>
    </w:p>
    <w:p w14:paraId="32C5B769" w14:textId="77777777" w:rsidR="003522DE" w:rsidRDefault="003522DE" w:rsidP="00111DD5">
      <w:pPr>
        <w:spacing w:after="0" w:line="288" w:lineRule="auto"/>
        <w:jc w:val="both"/>
      </w:pPr>
    </w:p>
    <w:p w14:paraId="7CFF4556" w14:textId="741E8A6C" w:rsidR="00E00B9E" w:rsidRDefault="00E00B9E" w:rsidP="00111DD5">
      <w:pPr>
        <w:spacing w:after="0" w:line="288" w:lineRule="auto"/>
        <w:jc w:val="both"/>
      </w:pPr>
    </w:p>
    <w:sectPr w:rsidR="00E00B9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1E6622" w14:textId="77777777" w:rsidR="00706665" w:rsidRDefault="00706665" w:rsidP="00DB0D83">
      <w:pPr>
        <w:spacing w:after="0" w:line="240" w:lineRule="auto"/>
      </w:pPr>
      <w:r>
        <w:separator/>
      </w:r>
    </w:p>
  </w:endnote>
  <w:endnote w:type="continuationSeparator" w:id="0">
    <w:p w14:paraId="6DF9DFC9" w14:textId="77777777" w:rsidR="00706665" w:rsidRDefault="00706665" w:rsidP="00DB0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1206317"/>
      <w:docPartObj>
        <w:docPartGallery w:val="Page Numbers (Bottom of Page)"/>
        <w:docPartUnique/>
      </w:docPartObj>
    </w:sdtPr>
    <w:sdtContent>
      <w:p w14:paraId="22540362" w14:textId="3C1020DE" w:rsidR="00D70DF7" w:rsidRDefault="00D70DF7">
        <w:pPr>
          <w:pStyle w:val="Subsol"/>
          <w:jc w:val="center"/>
        </w:pPr>
        <w:r>
          <w:fldChar w:fldCharType="begin"/>
        </w:r>
        <w:r>
          <w:instrText>PAGE   \* MERGEFORMAT</w:instrText>
        </w:r>
        <w:r>
          <w:fldChar w:fldCharType="separate"/>
        </w:r>
        <w:r>
          <w:t>2</w:t>
        </w:r>
        <w:r>
          <w:fldChar w:fldCharType="end"/>
        </w:r>
      </w:p>
    </w:sdtContent>
  </w:sdt>
  <w:p w14:paraId="7DABE8BC" w14:textId="77777777" w:rsidR="00D70DF7" w:rsidRDefault="00D70DF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6D922B" w14:textId="77777777" w:rsidR="00706665" w:rsidRDefault="00706665" w:rsidP="00DB0D83">
      <w:pPr>
        <w:spacing w:after="0" w:line="240" w:lineRule="auto"/>
      </w:pPr>
      <w:r>
        <w:separator/>
      </w:r>
    </w:p>
  </w:footnote>
  <w:footnote w:type="continuationSeparator" w:id="0">
    <w:p w14:paraId="250FFDE1" w14:textId="77777777" w:rsidR="00706665" w:rsidRDefault="00706665" w:rsidP="00DB0D83">
      <w:pPr>
        <w:spacing w:after="0" w:line="240" w:lineRule="auto"/>
      </w:pPr>
      <w:r>
        <w:continuationSeparator/>
      </w:r>
    </w:p>
  </w:footnote>
  <w:footnote w:id="1">
    <w:p w14:paraId="142FDFE5" w14:textId="16E370D2" w:rsidR="00852A23" w:rsidRPr="00852A23" w:rsidRDefault="00852A23" w:rsidP="00852A23">
      <w:pPr>
        <w:spacing w:after="0" w:line="288" w:lineRule="auto"/>
        <w:ind w:firstLine="708"/>
        <w:jc w:val="both"/>
        <w:rPr>
          <w:b/>
          <w:bCs/>
          <w:i/>
          <w:iCs/>
          <w:sz w:val="20"/>
          <w:szCs w:val="20"/>
        </w:rPr>
      </w:pPr>
      <w:r w:rsidRPr="00852A23">
        <w:rPr>
          <w:rStyle w:val="Referinnotdesubsol"/>
          <w:i/>
          <w:iCs/>
          <w:sz w:val="20"/>
          <w:szCs w:val="20"/>
        </w:rPr>
        <w:footnoteRef/>
      </w:r>
      <w:r w:rsidRPr="00852A23">
        <w:rPr>
          <w:i/>
          <w:iCs/>
          <w:sz w:val="20"/>
          <w:szCs w:val="20"/>
        </w:rPr>
        <w:t xml:space="preserve"> </w:t>
      </w:r>
      <w:r w:rsidRPr="00852A23">
        <w:rPr>
          <w:i/>
          <w:iCs/>
          <w:sz w:val="20"/>
          <w:szCs w:val="20"/>
        </w:rPr>
        <w:t>Articolul 10</w:t>
      </w:r>
      <w:r>
        <w:rPr>
          <w:i/>
          <w:iCs/>
          <w:sz w:val="20"/>
          <w:szCs w:val="20"/>
        </w:rPr>
        <w:t xml:space="preserve"> - </w:t>
      </w:r>
      <w:r w:rsidRPr="00852A23">
        <w:rPr>
          <w:b/>
          <w:bCs/>
          <w:i/>
          <w:iCs/>
          <w:sz w:val="20"/>
          <w:szCs w:val="20"/>
        </w:rPr>
        <w:t>Principiul interesului național</w:t>
      </w:r>
    </w:p>
    <w:p w14:paraId="0BAD2258" w14:textId="77777777" w:rsidR="00852A23" w:rsidRPr="00852A23" w:rsidRDefault="00852A23" w:rsidP="00852A23">
      <w:pPr>
        <w:spacing w:after="0" w:line="288" w:lineRule="auto"/>
        <w:ind w:firstLine="708"/>
        <w:jc w:val="both"/>
        <w:rPr>
          <w:i/>
          <w:iCs/>
          <w:sz w:val="20"/>
          <w:szCs w:val="20"/>
        </w:rPr>
      </w:pPr>
      <w:r w:rsidRPr="00852A23">
        <w:rPr>
          <w:i/>
          <w:iCs/>
          <w:sz w:val="20"/>
          <w:szCs w:val="20"/>
        </w:rPr>
        <w:t xml:space="preserve">Deputații și senatorii </w:t>
      </w:r>
      <w:r w:rsidRPr="00852A23">
        <w:rPr>
          <w:b/>
          <w:bCs/>
          <w:i/>
          <w:iCs/>
          <w:sz w:val="20"/>
          <w:szCs w:val="20"/>
          <w:u w:val="single"/>
        </w:rPr>
        <w:t>au îndatorirea</w:t>
      </w:r>
      <w:r w:rsidRPr="00852A23">
        <w:rPr>
          <w:i/>
          <w:iCs/>
          <w:sz w:val="20"/>
          <w:szCs w:val="20"/>
        </w:rPr>
        <w:t xml:space="preserve"> </w:t>
      </w:r>
      <w:r w:rsidRPr="00852A23">
        <w:rPr>
          <w:b/>
          <w:bCs/>
          <w:i/>
          <w:iCs/>
          <w:sz w:val="20"/>
          <w:szCs w:val="20"/>
        </w:rPr>
        <w:t>de a acționa în interesul întregii națiuni și al locuitorilor din circumscripțiile electorale pe care le reprezintă,</w:t>
      </w:r>
      <w:r w:rsidRPr="00852A23">
        <w:rPr>
          <w:i/>
          <w:iCs/>
          <w:sz w:val="20"/>
          <w:szCs w:val="20"/>
        </w:rPr>
        <w:t xml:space="preserve"> respectiv al cetățenilor aparținând minorităților naționale, pe care îi reprezintă.</w:t>
      </w:r>
    </w:p>
    <w:p w14:paraId="28D91237" w14:textId="5485A681" w:rsidR="00852A23" w:rsidRPr="00852A23" w:rsidRDefault="00852A23" w:rsidP="00852A23">
      <w:pPr>
        <w:spacing w:after="0" w:line="288" w:lineRule="auto"/>
        <w:ind w:firstLine="708"/>
        <w:jc w:val="both"/>
        <w:rPr>
          <w:i/>
          <w:iCs/>
          <w:sz w:val="20"/>
          <w:szCs w:val="20"/>
        </w:rPr>
      </w:pPr>
      <w:r w:rsidRPr="00852A23">
        <w:rPr>
          <w:i/>
          <w:iCs/>
          <w:sz w:val="20"/>
          <w:szCs w:val="20"/>
        </w:rPr>
        <w:t>Articolul 11</w:t>
      </w:r>
      <w:r>
        <w:rPr>
          <w:i/>
          <w:iCs/>
          <w:sz w:val="20"/>
          <w:szCs w:val="20"/>
        </w:rPr>
        <w:t xml:space="preserve"> - </w:t>
      </w:r>
      <w:r w:rsidRPr="00852A23">
        <w:rPr>
          <w:b/>
          <w:bCs/>
          <w:i/>
          <w:iCs/>
          <w:sz w:val="20"/>
          <w:szCs w:val="20"/>
        </w:rPr>
        <w:t>Principiul legalității și al bunei-credințe</w:t>
      </w:r>
    </w:p>
    <w:p w14:paraId="2A9C8220" w14:textId="77777777" w:rsidR="00852A23" w:rsidRPr="00852A23" w:rsidRDefault="00852A23" w:rsidP="00852A23">
      <w:pPr>
        <w:spacing w:after="0" w:line="288" w:lineRule="auto"/>
        <w:ind w:firstLine="708"/>
        <w:jc w:val="both"/>
        <w:rPr>
          <w:i/>
          <w:iCs/>
          <w:sz w:val="20"/>
          <w:szCs w:val="20"/>
        </w:rPr>
      </w:pPr>
      <w:r w:rsidRPr="00852A23">
        <w:rPr>
          <w:i/>
          <w:iCs/>
          <w:sz w:val="20"/>
          <w:szCs w:val="20"/>
        </w:rPr>
        <w:t>(1) Deputații și senatorii, în calitatea lor de reprezentanți aleși ai poporului român, își îndeplinesc îndatoririle și își exercită drepturile în conformitate cu Constituția, legile țării și regulamentele Camerei Deputaților și Senatului, pe toată durata mandatului pe care îl dețin.</w:t>
      </w:r>
    </w:p>
    <w:p w14:paraId="5138DDAA" w14:textId="77777777" w:rsidR="00852A23" w:rsidRPr="00852A23" w:rsidRDefault="00852A23" w:rsidP="00852A23">
      <w:pPr>
        <w:spacing w:after="0" w:line="288" w:lineRule="auto"/>
        <w:ind w:firstLine="708"/>
        <w:jc w:val="both"/>
        <w:rPr>
          <w:i/>
          <w:iCs/>
          <w:sz w:val="20"/>
          <w:szCs w:val="20"/>
        </w:rPr>
      </w:pPr>
      <w:r w:rsidRPr="00852A23">
        <w:rPr>
          <w:i/>
          <w:iCs/>
          <w:sz w:val="20"/>
          <w:szCs w:val="20"/>
        </w:rPr>
        <w:t>(2) Deputaților și senatorilor le este interzis să își asume față de persoanele fizice sau juridice obligații financiare ori de alt tip, menite să influențeze exercitarea mandatului cu bună-credință, potrivit propriei conștiințe.</w:t>
      </w:r>
    </w:p>
    <w:p w14:paraId="4EA5EEEE" w14:textId="3E3B87DA" w:rsidR="00852A23" w:rsidRPr="00852A23" w:rsidRDefault="00852A23" w:rsidP="00852A23">
      <w:pPr>
        <w:spacing w:after="0" w:line="288" w:lineRule="auto"/>
        <w:ind w:firstLine="708"/>
        <w:jc w:val="both"/>
        <w:rPr>
          <w:i/>
          <w:iCs/>
          <w:sz w:val="20"/>
          <w:szCs w:val="20"/>
        </w:rPr>
      </w:pPr>
      <w:r w:rsidRPr="00852A23">
        <w:rPr>
          <w:i/>
          <w:iCs/>
          <w:sz w:val="20"/>
          <w:szCs w:val="20"/>
        </w:rPr>
        <w:t>Articolul 12</w:t>
      </w:r>
      <w:r>
        <w:rPr>
          <w:i/>
          <w:iCs/>
          <w:sz w:val="20"/>
          <w:szCs w:val="20"/>
        </w:rPr>
        <w:t xml:space="preserve"> - </w:t>
      </w:r>
      <w:r w:rsidRPr="00852A23">
        <w:rPr>
          <w:b/>
          <w:bCs/>
          <w:i/>
          <w:iCs/>
          <w:sz w:val="20"/>
          <w:szCs w:val="20"/>
        </w:rPr>
        <w:t>Principiul transparenței</w:t>
      </w:r>
    </w:p>
    <w:p w14:paraId="4ECC0C0F" w14:textId="77777777" w:rsidR="00852A23" w:rsidRPr="00852A23" w:rsidRDefault="00852A23" w:rsidP="00852A23">
      <w:pPr>
        <w:spacing w:after="0" w:line="288" w:lineRule="auto"/>
        <w:ind w:firstLine="708"/>
        <w:jc w:val="both"/>
        <w:rPr>
          <w:i/>
          <w:iCs/>
          <w:sz w:val="20"/>
          <w:szCs w:val="20"/>
        </w:rPr>
      </w:pPr>
      <w:r w:rsidRPr="00852A23">
        <w:rPr>
          <w:i/>
          <w:iCs/>
          <w:sz w:val="20"/>
          <w:szCs w:val="20"/>
        </w:rPr>
        <w:t xml:space="preserve">(1) Deputații și senatorii </w:t>
      </w:r>
      <w:r w:rsidRPr="00852A23">
        <w:rPr>
          <w:b/>
          <w:bCs/>
          <w:i/>
          <w:iCs/>
          <w:sz w:val="20"/>
          <w:szCs w:val="20"/>
        </w:rPr>
        <w:t>trebuie să dea dovadă de transparență în activitatea parlamentară</w:t>
      </w:r>
      <w:r w:rsidRPr="00852A23">
        <w:rPr>
          <w:i/>
          <w:iCs/>
          <w:sz w:val="20"/>
          <w:szCs w:val="20"/>
        </w:rPr>
        <w:t>.</w:t>
      </w:r>
    </w:p>
    <w:p w14:paraId="04F76F00" w14:textId="77777777" w:rsidR="00852A23" w:rsidRPr="00852A23" w:rsidRDefault="00852A23" w:rsidP="00852A23">
      <w:pPr>
        <w:spacing w:after="0" w:line="288" w:lineRule="auto"/>
        <w:ind w:firstLine="708"/>
        <w:jc w:val="both"/>
        <w:rPr>
          <w:i/>
          <w:iCs/>
          <w:sz w:val="20"/>
          <w:szCs w:val="20"/>
        </w:rPr>
      </w:pPr>
      <w:r w:rsidRPr="00852A23">
        <w:rPr>
          <w:i/>
          <w:iCs/>
          <w:sz w:val="20"/>
          <w:szCs w:val="20"/>
        </w:rPr>
        <w:t xml:space="preserve">(2) Deputații și senatorii </w:t>
      </w:r>
      <w:r w:rsidRPr="00852A23">
        <w:rPr>
          <w:b/>
          <w:bCs/>
          <w:i/>
          <w:iCs/>
          <w:sz w:val="20"/>
          <w:szCs w:val="20"/>
          <w:u w:val="single"/>
        </w:rPr>
        <w:t>au obligația</w:t>
      </w:r>
      <w:r w:rsidRPr="00852A23">
        <w:rPr>
          <w:i/>
          <w:iCs/>
          <w:sz w:val="20"/>
          <w:szCs w:val="20"/>
        </w:rPr>
        <w:t xml:space="preserve"> </w:t>
      </w:r>
      <w:r w:rsidRPr="00852A23">
        <w:rPr>
          <w:b/>
          <w:bCs/>
          <w:i/>
          <w:iCs/>
          <w:sz w:val="20"/>
          <w:szCs w:val="20"/>
        </w:rPr>
        <w:t>menținerii unui dialog permanent cu cetățenii pe problemele care îi interesează</w:t>
      </w:r>
      <w:r w:rsidRPr="00852A23">
        <w:rPr>
          <w:i/>
          <w:iCs/>
          <w:sz w:val="20"/>
          <w:szCs w:val="20"/>
        </w:rPr>
        <w:t xml:space="preserve"> și care rezultă din asumarea și exercitarea mandatului de parlamentar.</w:t>
      </w:r>
    </w:p>
    <w:p w14:paraId="32D28729" w14:textId="7749C879" w:rsidR="00852A23" w:rsidRPr="00852A23" w:rsidRDefault="00852A23" w:rsidP="00852A23">
      <w:pPr>
        <w:spacing w:after="0" w:line="288" w:lineRule="auto"/>
        <w:ind w:firstLine="708"/>
        <w:jc w:val="both"/>
        <w:rPr>
          <w:i/>
          <w:iCs/>
          <w:sz w:val="20"/>
          <w:szCs w:val="20"/>
        </w:rPr>
      </w:pPr>
      <w:r w:rsidRPr="00852A23">
        <w:rPr>
          <w:i/>
          <w:iCs/>
          <w:sz w:val="20"/>
          <w:szCs w:val="20"/>
        </w:rPr>
        <w:t>Articolul 13</w:t>
      </w:r>
      <w:r>
        <w:rPr>
          <w:i/>
          <w:iCs/>
          <w:sz w:val="20"/>
          <w:szCs w:val="20"/>
        </w:rPr>
        <w:t xml:space="preserve"> - </w:t>
      </w:r>
      <w:r w:rsidRPr="00852A23">
        <w:rPr>
          <w:b/>
          <w:bCs/>
          <w:i/>
          <w:iCs/>
          <w:sz w:val="20"/>
          <w:szCs w:val="20"/>
        </w:rPr>
        <w:t>Principiul fidelității</w:t>
      </w:r>
    </w:p>
    <w:p w14:paraId="51980503" w14:textId="77777777" w:rsidR="00852A23" w:rsidRPr="00852A23" w:rsidRDefault="00852A23" w:rsidP="00852A23">
      <w:pPr>
        <w:spacing w:after="0" w:line="288" w:lineRule="auto"/>
        <w:ind w:firstLine="708"/>
        <w:jc w:val="both"/>
        <w:rPr>
          <w:b/>
          <w:bCs/>
          <w:i/>
          <w:iCs/>
          <w:sz w:val="20"/>
          <w:szCs w:val="20"/>
        </w:rPr>
      </w:pPr>
      <w:r w:rsidRPr="00852A23">
        <w:rPr>
          <w:i/>
          <w:iCs/>
          <w:sz w:val="20"/>
          <w:szCs w:val="20"/>
        </w:rPr>
        <w:t xml:space="preserve">Deputații și senatorii </w:t>
      </w:r>
      <w:r w:rsidRPr="00852A23">
        <w:rPr>
          <w:b/>
          <w:bCs/>
          <w:i/>
          <w:iCs/>
          <w:sz w:val="20"/>
          <w:szCs w:val="20"/>
          <w:u w:val="single"/>
        </w:rPr>
        <w:t>sunt datori</w:t>
      </w:r>
      <w:r w:rsidRPr="00852A23">
        <w:rPr>
          <w:i/>
          <w:iCs/>
          <w:sz w:val="20"/>
          <w:szCs w:val="20"/>
        </w:rPr>
        <w:t xml:space="preserve"> </w:t>
      </w:r>
      <w:r w:rsidRPr="00852A23">
        <w:rPr>
          <w:b/>
          <w:bCs/>
          <w:i/>
          <w:iCs/>
          <w:sz w:val="20"/>
          <w:szCs w:val="20"/>
        </w:rPr>
        <w:t>să manifeste</w:t>
      </w:r>
      <w:r w:rsidRPr="00852A23">
        <w:rPr>
          <w:i/>
          <w:iCs/>
          <w:sz w:val="20"/>
          <w:szCs w:val="20"/>
        </w:rPr>
        <w:t xml:space="preserve"> pe durata exercitării mandatului </w:t>
      </w:r>
      <w:r w:rsidRPr="00852A23">
        <w:rPr>
          <w:b/>
          <w:bCs/>
          <w:i/>
          <w:iCs/>
          <w:sz w:val="20"/>
          <w:szCs w:val="20"/>
        </w:rPr>
        <w:t>fidelitate față de România și popor și respect față de oameni.</w:t>
      </w:r>
    </w:p>
    <w:p w14:paraId="4D13DAA7" w14:textId="50052B1E" w:rsidR="00852A23" w:rsidRDefault="00852A23">
      <w:pPr>
        <w:pStyle w:val="Textnotdesubsol"/>
      </w:pPr>
    </w:p>
  </w:footnote>
  <w:footnote w:id="2">
    <w:p w14:paraId="5A27180B" w14:textId="77777777" w:rsidR="00AE12EE" w:rsidRDefault="00AE12EE" w:rsidP="00AE12EE">
      <w:pPr>
        <w:pStyle w:val="Textnotdesubsol"/>
      </w:pPr>
      <w:r>
        <w:rPr>
          <w:rStyle w:val="Referinnotdesubsol"/>
        </w:rPr>
        <w:footnoteRef/>
      </w:r>
      <w:r>
        <w:t xml:space="preserve"> </w:t>
      </w:r>
      <w:hyperlink r:id="rId1" w:history="1">
        <w:r w:rsidRPr="00DF0AA7">
          <w:rPr>
            <w:rStyle w:val="Hyperlink"/>
          </w:rPr>
          <w:t>https://legislatie.just.ro/Public/DetaliiDocument/277148</w:t>
        </w:r>
      </w:hyperlink>
      <w:r>
        <w:t xml:space="preserve"> </w:t>
      </w:r>
    </w:p>
  </w:footnote>
  <w:footnote w:id="3">
    <w:p w14:paraId="28D24553" w14:textId="77777777" w:rsidR="00AE12EE" w:rsidRDefault="00AE12EE" w:rsidP="00AE12EE">
      <w:pPr>
        <w:pStyle w:val="Textnotdesubsol"/>
      </w:pPr>
      <w:r>
        <w:rPr>
          <w:rStyle w:val="Referinnotdesubsol"/>
        </w:rPr>
        <w:footnoteRef/>
      </w:r>
      <w:r>
        <w:t xml:space="preserve"> </w:t>
      </w:r>
      <w:hyperlink r:id="rId2" w:history="1">
        <w:r w:rsidRPr="00DF0AA7">
          <w:rPr>
            <w:rStyle w:val="Hyperlink"/>
          </w:rPr>
          <w:t>https://legislatie.just.ro/Public/DetaliiDocument/277398</w:t>
        </w:r>
      </w:hyperlink>
      <w:r>
        <w:t xml:space="preserve"> </w:t>
      </w:r>
    </w:p>
  </w:footnote>
  <w:footnote w:id="4">
    <w:p w14:paraId="25BA4723" w14:textId="77777777" w:rsidR="00AE12EE" w:rsidRDefault="00AE12EE" w:rsidP="00AE12EE">
      <w:pPr>
        <w:pStyle w:val="Textnotdesubsol"/>
      </w:pPr>
      <w:r>
        <w:rPr>
          <w:rStyle w:val="Referinnotdesubsol"/>
        </w:rPr>
        <w:footnoteRef/>
      </w:r>
      <w:r>
        <w:t xml:space="preserve"> </w:t>
      </w:r>
      <w:hyperlink r:id="rId3" w:history="1">
        <w:r w:rsidRPr="00DF0AA7">
          <w:rPr>
            <w:rStyle w:val="Hyperlink"/>
          </w:rPr>
          <w:t>https://legislatie.just.ro/Public/DetaliiDocument/6070</w:t>
        </w:r>
      </w:hyperlink>
      <w:r>
        <w:t xml:space="preserve"> </w:t>
      </w:r>
    </w:p>
  </w:footnote>
  <w:footnote w:id="5">
    <w:p w14:paraId="7647D637" w14:textId="77777777" w:rsidR="00AE12EE" w:rsidRDefault="00AE12EE" w:rsidP="00AE12EE">
      <w:pPr>
        <w:pStyle w:val="Textnotdesubsol"/>
      </w:pPr>
      <w:r>
        <w:rPr>
          <w:rStyle w:val="Referinnotdesubsol"/>
        </w:rPr>
        <w:footnoteRef/>
      </w:r>
      <w:r>
        <w:t xml:space="preserve"> </w:t>
      </w:r>
      <w:hyperlink r:id="rId4" w:history="1">
        <w:r w:rsidRPr="00DF0AA7">
          <w:rPr>
            <w:rStyle w:val="Hyperlink"/>
          </w:rPr>
          <w:t>https://legislatie.just.ro/Public/DetaliiDocument/7935</w:t>
        </w:r>
      </w:hyperlink>
      <w:r>
        <w:t xml:space="preserve"> </w:t>
      </w:r>
    </w:p>
  </w:footnote>
  <w:footnote w:id="6">
    <w:p w14:paraId="3CF1E747" w14:textId="77777777" w:rsidR="00AE12EE" w:rsidRDefault="00AE12EE" w:rsidP="00AE12EE">
      <w:pPr>
        <w:pStyle w:val="Textnotdesubsol"/>
      </w:pPr>
      <w:r>
        <w:rPr>
          <w:rStyle w:val="Referinnotdesubsol"/>
        </w:rPr>
        <w:footnoteRef/>
      </w:r>
      <w:r>
        <w:t xml:space="preserve"> </w:t>
      </w:r>
      <w:hyperlink r:id="rId5" w:history="1">
        <w:r w:rsidRPr="00DF0AA7">
          <w:rPr>
            <w:rStyle w:val="Hyperlink"/>
          </w:rPr>
          <w:t>https://legislatie.just.ro/Public/DetaliiDocument/167088</w:t>
        </w:r>
      </w:hyperlink>
      <w:r>
        <w:t xml:space="preserve"> </w:t>
      </w:r>
    </w:p>
  </w:footnote>
  <w:footnote w:id="7">
    <w:p w14:paraId="27426CD4" w14:textId="77777777" w:rsidR="00AE12EE" w:rsidRDefault="00AE12EE" w:rsidP="00AE12EE">
      <w:pPr>
        <w:pStyle w:val="Textnotdesubsol"/>
      </w:pPr>
      <w:r>
        <w:rPr>
          <w:rStyle w:val="Referinnotdesubsol"/>
        </w:rPr>
        <w:footnoteRef/>
      </w:r>
      <w:r>
        <w:t xml:space="preserve"> </w:t>
      </w:r>
      <w:hyperlink r:id="rId6" w:history="1">
        <w:r w:rsidRPr="00B73449">
          <w:rPr>
            <w:rStyle w:val="Hyperlink"/>
          </w:rPr>
          <w:t>https://cdep.ro/proiecte/2024/000/50/3/em59.pdf</w:t>
        </w:r>
      </w:hyperlink>
      <w:r>
        <w:t xml:space="preserve"> </w:t>
      </w:r>
    </w:p>
  </w:footnote>
  <w:footnote w:id="8">
    <w:p w14:paraId="3A55D948" w14:textId="77777777" w:rsidR="00AE12EE" w:rsidRPr="00C475B6" w:rsidRDefault="00AE12EE" w:rsidP="00AE12EE">
      <w:pPr>
        <w:spacing w:after="0" w:line="264" w:lineRule="auto"/>
        <w:jc w:val="both"/>
        <w:rPr>
          <w:rFonts w:eastAsia="Calibri" w:cs="Times New Roman"/>
          <w:kern w:val="0"/>
          <w:sz w:val="20"/>
          <w:szCs w:val="20"/>
          <w:lang w:eastAsia="en-US"/>
          <w14:ligatures w14:val="none"/>
        </w:rPr>
      </w:pPr>
      <w:r>
        <w:rPr>
          <w:rStyle w:val="Referinnotdesubsol"/>
        </w:rPr>
        <w:footnoteRef/>
      </w:r>
      <w:r>
        <w:t xml:space="preserve"> </w:t>
      </w:r>
      <w:r w:rsidRPr="00C475B6">
        <w:rPr>
          <w:rFonts w:eastAsia="Calibri" w:cs="Times New Roman"/>
          <w:kern w:val="0"/>
          <w:sz w:val="20"/>
          <w:szCs w:val="20"/>
          <w:lang w:eastAsia="en-US"/>
          <w14:ligatures w14:val="none"/>
        </w:rPr>
        <w:t xml:space="preserve">Cartea a V-a , Titlul IX, Capitolul XIV din Codul Civil reglementează  Contractul de cont curent. </w:t>
      </w:r>
    </w:p>
    <w:p w14:paraId="0A7D77F3" w14:textId="77777777" w:rsidR="00AE12EE" w:rsidRPr="00C475B6" w:rsidRDefault="00AE12EE" w:rsidP="00AE12EE">
      <w:pPr>
        <w:spacing w:after="0" w:line="264" w:lineRule="auto"/>
        <w:ind w:firstLine="720"/>
        <w:jc w:val="both"/>
        <w:rPr>
          <w:rFonts w:eastAsia="Calibri" w:cs="Times New Roman"/>
          <w:b/>
          <w:bCs/>
          <w:kern w:val="0"/>
          <w:sz w:val="20"/>
          <w:szCs w:val="20"/>
          <w:lang w:eastAsia="en-US"/>
          <w14:ligatures w14:val="none"/>
        </w:rPr>
      </w:pPr>
      <w:r w:rsidRPr="00C475B6">
        <w:rPr>
          <w:rFonts w:eastAsia="Calibri" w:cs="Times New Roman"/>
          <w:b/>
          <w:bCs/>
          <w:kern w:val="0"/>
          <w:sz w:val="20"/>
          <w:szCs w:val="20"/>
          <w:lang w:eastAsia="en-US"/>
          <w14:ligatures w14:val="none"/>
        </w:rPr>
        <w:t>Potrivit art. 2.171 Cod Civil – Noțiunea de contract de cont curent:</w:t>
      </w:r>
    </w:p>
    <w:p w14:paraId="0A6F621F" w14:textId="77777777" w:rsidR="00AE12EE" w:rsidRPr="00C475B6" w:rsidRDefault="00AE12EE" w:rsidP="00AE12EE">
      <w:pPr>
        <w:spacing w:after="0" w:line="264" w:lineRule="auto"/>
        <w:jc w:val="both"/>
        <w:rPr>
          <w:rFonts w:eastAsia="Calibri" w:cs="Times New Roman"/>
          <w:i/>
          <w:iCs/>
          <w:kern w:val="0"/>
          <w:sz w:val="20"/>
          <w:szCs w:val="20"/>
          <w:lang w:eastAsia="en-US"/>
          <w14:ligatures w14:val="none"/>
        </w:rPr>
      </w:pPr>
      <w:r w:rsidRPr="00C475B6">
        <w:rPr>
          <w:rFonts w:eastAsia="Calibri" w:cs="Times New Roman"/>
          <w:i/>
          <w:iCs/>
          <w:kern w:val="0"/>
          <w:sz w:val="20"/>
          <w:szCs w:val="20"/>
          <w:lang w:eastAsia="en-US"/>
          <w14:ligatures w14:val="none"/>
        </w:rPr>
        <w:t xml:space="preserve">”(1) Contractul de cont curent este acela prin care părțile, denumite </w:t>
      </w:r>
      <w:proofErr w:type="spellStart"/>
      <w:r w:rsidRPr="00C475B6">
        <w:rPr>
          <w:rFonts w:eastAsia="Calibri" w:cs="Times New Roman"/>
          <w:i/>
          <w:iCs/>
          <w:kern w:val="0"/>
          <w:sz w:val="20"/>
          <w:szCs w:val="20"/>
          <w:lang w:eastAsia="en-US"/>
          <w14:ligatures w14:val="none"/>
        </w:rPr>
        <w:t>curentiști</w:t>
      </w:r>
      <w:proofErr w:type="spellEnd"/>
      <w:r w:rsidRPr="00C475B6">
        <w:rPr>
          <w:rFonts w:eastAsia="Calibri" w:cs="Times New Roman"/>
          <w:i/>
          <w:iCs/>
          <w:kern w:val="0"/>
          <w:sz w:val="20"/>
          <w:szCs w:val="20"/>
          <w:lang w:eastAsia="en-US"/>
          <w14:ligatures w14:val="none"/>
        </w:rPr>
        <w:t xml:space="preserve">, se obligă să înscrie într-un cont creanțele decurgând din remiteri reciproce, considerându-le </w:t>
      </w:r>
      <w:proofErr w:type="spellStart"/>
      <w:r w:rsidRPr="00C475B6">
        <w:rPr>
          <w:rFonts w:eastAsia="Calibri" w:cs="Times New Roman"/>
          <w:i/>
          <w:iCs/>
          <w:kern w:val="0"/>
          <w:sz w:val="20"/>
          <w:szCs w:val="20"/>
          <w:lang w:eastAsia="en-US"/>
          <w14:ligatures w14:val="none"/>
        </w:rPr>
        <w:t>neexigibile</w:t>
      </w:r>
      <w:proofErr w:type="spellEnd"/>
      <w:r w:rsidRPr="00C475B6">
        <w:rPr>
          <w:rFonts w:eastAsia="Calibri" w:cs="Times New Roman"/>
          <w:i/>
          <w:iCs/>
          <w:kern w:val="0"/>
          <w:sz w:val="20"/>
          <w:szCs w:val="20"/>
          <w:lang w:eastAsia="en-US"/>
          <w14:ligatures w14:val="none"/>
        </w:rPr>
        <w:t xml:space="preserve"> și indisponibile până la închiderea contului.</w:t>
      </w:r>
    </w:p>
    <w:p w14:paraId="6E14059E" w14:textId="77777777" w:rsidR="00AE12EE" w:rsidRPr="00C475B6" w:rsidRDefault="00AE12EE" w:rsidP="00AE12EE">
      <w:pPr>
        <w:spacing w:after="0" w:line="264" w:lineRule="auto"/>
        <w:jc w:val="both"/>
        <w:rPr>
          <w:rFonts w:eastAsia="Calibri" w:cs="Times New Roman"/>
          <w:i/>
          <w:iCs/>
          <w:kern w:val="0"/>
          <w:sz w:val="20"/>
          <w:szCs w:val="20"/>
          <w:lang w:eastAsia="en-US"/>
          <w14:ligatures w14:val="none"/>
        </w:rPr>
      </w:pPr>
      <w:r w:rsidRPr="00C475B6">
        <w:rPr>
          <w:rFonts w:eastAsia="Calibri" w:cs="Times New Roman"/>
          <w:i/>
          <w:iCs/>
          <w:kern w:val="0"/>
          <w:sz w:val="20"/>
          <w:szCs w:val="20"/>
          <w:lang w:eastAsia="en-US"/>
          <w14:ligatures w14:val="none"/>
        </w:rPr>
        <w:t xml:space="preserve">(2) </w:t>
      </w:r>
      <w:r w:rsidRPr="00C475B6">
        <w:rPr>
          <w:rFonts w:eastAsia="Calibri" w:cs="Times New Roman"/>
          <w:b/>
          <w:bCs/>
          <w:i/>
          <w:iCs/>
          <w:kern w:val="0"/>
          <w:sz w:val="20"/>
          <w:szCs w:val="20"/>
          <w:lang w:eastAsia="en-US"/>
          <w14:ligatures w14:val="none"/>
        </w:rPr>
        <w:t>Soldul creditor al contului la încheierea sa constituie o creanță exigibilă</w:t>
      </w:r>
      <w:r w:rsidRPr="00C475B6">
        <w:rPr>
          <w:rFonts w:eastAsia="Calibri" w:cs="Times New Roman"/>
          <w:i/>
          <w:iCs/>
          <w:kern w:val="0"/>
          <w:sz w:val="20"/>
          <w:szCs w:val="20"/>
          <w:lang w:eastAsia="en-US"/>
          <w14:ligatures w14:val="none"/>
        </w:rPr>
        <w:t>. Dacă plata acestuia nu este cerută, soldul constituie prima remitere dintr-un nou cont și contractul este considerat reînnoit pe durată nedeterminată.”</w:t>
      </w:r>
    </w:p>
    <w:p w14:paraId="11286DBF" w14:textId="77777777" w:rsidR="00AE12EE" w:rsidRPr="00C475B6" w:rsidRDefault="00AE12EE" w:rsidP="00AE12EE">
      <w:pPr>
        <w:spacing w:after="0" w:line="264" w:lineRule="auto"/>
        <w:ind w:firstLine="720"/>
        <w:jc w:val="both"/>
        <w:rPr>
          <w:rFonts w:eastAsia="Calibri" w:cs="Times New Roman"/>
          <w:b/>
          <w:bCs/>
          <w:kern w:val="0"/>
          <w:sz w:val="20"/>
          <w:szCs w:val="20"/>
          <w:lang w:eastAsia="en-US"/>
          <w14:ligatures w14:val="none"/>
        </w:rPr>
      </w:pPr>
      <w:r w:rsidRPr="00C475B6">
        <w:rPr>
          <w:rFonts w:eastAsia="Calibri" w:cs="Times New Roman"/>
          <w:b/>
          <w:bCs/>
          <w:kern w:val="0"/>
          <w:sz w:val="20"/>
          <w:szCs w:val="20"/>
          <w:lang w:eastAsia="en-US"/>
          <w14:ligatures w14:val="none"/>
        </w:rPr>
        <w:t xml:space="preserve">Potrivit art. 2.173 Cod Civil – Efectele principale ale Contractului de cont curent </w:t>
      </w:r>
    </w:p>
    <w:p w14:paraId="5706E8DD" w14:textId="77777777" w:rsidR="00AE12EE" w:rsidRPr="00C475B6" w:rsidRDefault="00AE12EE" w:rsidP="00AE12EE">
      <w:pPr>
        <w:spacing w:after="0" w:line="264" w:lineRule="auto"/>
        <w:jc w:val="both"/>
        <w:rPr>
          <w:rFonts w:eastAsia="Calibri" w:cs="Times New Roman"/>
          <w:i/>
          <w:iCs/>
          <w:kern w:val="0"/>
          <w:sz w:val="20"/>
          <w:szCs w:val="20"/>
          <w:lang w:eastAsia="en-US"/>
          <w14:ligatures w14:val="none"/>
        </w:rPr>
      </w:pPr>
      <w:r w:rsidRPr="00C475B6">
        <w:rPr>
          <w:rFonts w:eastAsia="Calibri" w:cs="Times New Roman"/>
          <w:i/>
          <w:iCs/>
          <w:kern w:val="0"/>
          <w:sz w:val="20"/>
          <w:szCs w:val="20"/>
          <w:lang w:eastAsia="en-US"/>
          <w14:ligatures w14:val="none"/>
        </w:rPr>
        <w:t xml:space="preserve">”Prin contractul de cont curent, </w:t>
      </w:r>
      <w:r w:rsidRPr="00C475B6">
        <w:rPr>
          <w:rFonts w:eastAsia="Calibri" w:cs="Times New Roman"/>
          <w:b/>
          <w:bCs/>
          <w:i/>
          <w:iCs/>
          <w:kern w:val="0"/>
          <w:sz w:val="20"/>
          <w:szCs w:val="20"/>
          <w:u w:val="single"/>
          <w:lang w:eastAsia="en-US"/>
          <w14:ligatures w14:val="none"/>
        </w:rPr>
        <w:t>proprietatea remiterilor se transferă primitorului,</w:t>
      </w:r>
      <w:r w:rsidRPr="00C475B6">
        <w:rPr>
          <w:rFonts w:eastAsia="Calibri" w:cs="Times New Roman"/>
          <w:i/>
          <w:iCs/>
          <w:kern w:val="0"/>
          <w:sz w:val="20"/>
          <w:szCs w:val="20"/>
          <w:lang w:eastAsia="en-US"/>
          <w14:ligatures w14:val="none"/>
        </w:rPr>
        <w:t xml:space="preserve"> prin înregistrarea acestora în cont. Obligațiile născute din remiterile anterioare se novează și creanțele reciproce se compensează până la concurența debitului și creditului, sub rezerva plății soldului creditor. Dobânzile curg pentru fiecare sumă de la data înscrierii în cont până la încheierea contului și se socotesc pe zile, dacă părțile nu convin altfel.”</w:t>
      </w:r>
    </w:p>
    <w:p w14:paraId="3F205421" w14:textId="77777777" w:rsidR="00AE12EE" w:rsidRDefault="00AE12EE" w:rsidP="00AE12EE">
      <w:pPr>
        <w:pStyle w:val="Textnotdesubsol"/>
      </w:pPr>
    </w:p>
  </w:footnote>
  <w:footnote w:id="9">
    <w:p w14:paraId="56485AC4" w14:textId="77777777" w:rsidR="00AE12EE" w:rsidRDefault="00AE12EE" w:rsidP="00AE12EE">
      <w:pPr>
        <w:pStyle w:val="Textnotdesubsol"/>
      </w:pPr>
      <w:r>
        <w:rPr>
          <w:rStyle w:val="Referinnotdesubsol"/>
        </w:rPr>
        <w:footnoteRef/>
      </w:r>
      <w:r>
        <w:t xml:space="preserve"> </w:t>
      </w:r>
      <w:hyperlink r:id="rId7" w:history="1">
        <w:r w:rsidRPr="00B73449">
          <w:rPr>
            <w:rStyle w:val="Hyperlink"/>
          </w:rPr>
          <w:t>https://cdep.ro/comisii/juridica/pdf/2024/av053.pdf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8A150C"/>
    <w:multiLevelType w:val="hybridMultilevel"/>
    <w:tmpl w:val="E82455D8"/>
    <w:lvl w:ilvl="0" w:tplc="FFFFFFF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96B218E"/>
    <w:multiLevelType w:val="hybridMultilevel"/>
    <w:tmpl w:val="3282081A"/>
    <w:lvl w:ilvl="0" w:tplc="FA56436E">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30E27C27"/>
    <w:multiLevelType w:val="hybridMultilevel"/>
    <w:tmpl w:val="07A6E934"/>
    <w:lvl w:ilvl="0" w:tplc="FFFFFFF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BA83287"/>
    <w:multiLevelType w:val="hybridMultilevel"/>
    <w:tmpl w:val="09882A26"/>
    <w:lvl w:ilvl="0" w:tplc="FFFFFFF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127623D"/>
    <w:multiLevelType w:val="hybridMultilevel"/>
    <w:tmpl w:val="8D988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D444ED"/>
    <w:multiLevelType w:val="hybridMultilevel"/>
    <w:tmpl w:val="9A423B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B380B006">
      <w:start w:val="1"/>
      <w:numFmt w:val="upp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6932292">
    <w:abstractNumId w:val="2"/>
  </w:num>
  <w:num w:numId="2" w16cid:durableId="571623738">
    <w:abstractNumId w:val="0"/>
  </w:num>
  <w:num w:numId="3" w16cid:durableId="855195118">
    <w:abstractNumId w:val="3"/>
  </w:num>
  <w:num w:numId="4" w16cid:durableId="1825780997">
    <w:abstractNumId w:val="4"/>
  </w:num>
  <w:num w:numId="5" w16cid:durableId="1870215663">
    <w:abstractNumId w:val="5"/>
  </w:num>
  <w:num w:numId="6" w16cid:durableId="1736274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B9E"/>
    <w:rsid w:val="0000113F"/>
    <w:rsid w:val="000064E0"/>
    <w:rsid w:val="00011CFB"/>
    <w:rsid w:val="00014640"/>
    <w:rsid w:val="000516C8"/>
    <w:rsid w:val="00061FC4"/>
    <w:rsid w:val="00063A23"/>
    <w:rsid w:val="00070BD2"/>
    <w:rsid w:val="000A2D2D"/>
    <w:rsid w:val="000C579F"/>
    <w:rsid w:val="000F6BBA"/>
    <w:rsid w:val="00111DD5"/>
    <w:rsid w:val="00127991"/>
    <w:rsid w:val="0017121F"/>
    <w:rsid w:val="00174189"/>
    <w:rsid w:val="001A095A"/>
    <w:rsid w:val="001D545C"/>
    <w:rsid w:val="001F0567"/>
    <w:rsid w:val="0020325F"/>
    <w:rsid w:val="00227D09"/>
    <w:rsid w:val="0024069C"/>
    <w:rsid w:val="002470EB"/>
    <w:rsid w:val="002A7B2B"/>
    <w:rsid w:val="002A7F21"/>
    <w:rsid w:val="002E2129"/>
    <w:rsid w:val="00337814"/>
    <w:rsid w:val="003427C6"/>
    <w:rsid w:val="00345909"/>
    <w:rsid w:val="003522DE"/>
    <w:rsid w:val="003842FA"/>
    <w:rsid w:val="00395714"/>
    <w:rsid w:val="003A1E3F"/>
    <w:rsid w:val="003A2B46"/>
    <w:rsid w:val="003B5424"/>
    <w:rsid w:val="003D1FC3"/>
    <w:rsid w:val="0044048A"/>
    <w:rsid w:val="00451FC4"/>
    <w:rsid w:val="0047095B"/>
    <w:rsid w:val="004C4BB7"/>
    <w:rsid w:val="004E43E8"/>
    <w:rsid w:val="004F2A38"/>
    <w:rsid w:val="005218DF"/>
    <w:rsid w:val="0052338F"/>
    <w:rsid w:val="005410DB"/>
    <w:rsid w:val="00554DA2"/>
    <w:rsid w:val="005C388F"/>
    <w:rsid w:val="005E247A"/>
    <w:rsid w:val="006021FF"/>
    <w:rsid w:val="00603930"/>
    <w:rsid w:val="00630888"/>
    <w:rsid w:val="00690035"/>
    <w:rsid w:val="00695FFB"/>
    <w:rsid w:val="006E6A31"/>
    <w:rsid w:val="00701FD9"/>
    <w:rsid w:val="00706665"/>
    <w:rsid w:val="00725CCA"/>
    <w:rsid w:val="00757BC1"/>
    <w:rsid w:val="00772524"/>
    <w:rsid w:val="00795938"/>
    <w:rsid w:val="007A5C1C"/>
    <w:rsid w:val="007C0A0D"/>
    <w:rsid w:val="007C35C8"/>
    <w:rsid w:val="007C6870"/>
    <w:rsid w:val="007E2EB2"/>
    <w:rsid w:val="007E5328"/>
    <w:rsid w:val="007E58D6"/>
    <w:rsid w:val="008158D5"/>
    <w:rsid w:val="00820848"/>
    <w:rsid w:val="0083067B"/>
    <w:rsid w:val="00852A23"/>
    <w:rsid w:val="008621E3"/>
    <w:rsid w:val="008814E2"/>
    <w:rsid w:val="008B4988"/>
    <w:rsid w:val="008C6ED1"/>
    <w:rsid w:val="008E1053"/>
    <w:rsid w:val="008F5884"/>
    <w:rsid w:val="0090778F"/>
    <w:rsid w:val="00947282"/>
    <w:rsid w:val="00982B34"/>
    <w:rsid w:val="00A00214"/>
    <w:rsid w:val="00A54E6D"/>
    <w:rsid w:val="00A96525"/>
    <w:rsid w:val="00AC17AE"/>
    <w:rsid w:val="00AE12EE"/>
    <w:rsid w:val="00AF1D9C"/>
    <w:rsid w:val="00B344FD"/>
    <w:rsid w:val="00B51A8B"/>
    <w:rsid w:val="00B54FAB"/>
    <w:rsid w:val="00C20F8E"/>
    <w:rsid w:val="00C475B6"/>
    <w:rsid w:val="00C9748A"/>
    <w:rsid w:val="00CA35EF"/>
    <w:rsid w:val="00CA78F1"/>
    <w:rsid w:val="00CE1BA6"/>
    <w:rsid w:val="00D02CA1"/>
    <w:rsid w:val="00D70DF7"/>
    <w:rsid w:val="00DA5CBD"/>
    <w:rsid w:val="00DB0D83"/>
    <w:rsid w:val="00E00B9E"/>
    <w:rsid w:val="00E01077"/>
    <w:rsid w:val="00E11873"/>
    <w:rsid w:val="00E12908"/>
    <w:rsid w:val="00E34FCF"/>
    <w:rsid w:val="00E74B69"/>
    <w:rsid w:val="00E760B9"/>
    <w:rsid w:val="00E920E7"/>
    <w:rsid w:val="00ED184F"/>
    <w:rsid w:val="00ED32C7"/>
    <w:rsid w:val="00FA10E3"/>
    <w:rsid w:val="00FA5B9D"/>
    <w:rsid w:val="00FC1DB9"/>
    <w:rsid w:val="00FE1EC8"/>
    <w:rsid w:val="00FE28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C184"/>
  <w15:chartTrackingRefBased/>
  <w15:docId w15:val="{A3A85992-9AA9-E342-8EB0-FE2C8259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ro-RO" w:eastAsia="ro-RO"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E00B9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lu2">
    <w:name w:val="heading 2"/>
    <w:basedOn w:val="Normal"/>
    <w:next w:val="Normal"/>
    <w:link w:val="Titlu2Caracter"/>
    <w:uiPriority w:val="9"/>
    <w:semiHidden/>
    <w:unhideWhenUsed/>
    <w:qFormat/>
    <w:rsid w:val="00E00B9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lu3">
    <w:name w:val="heading 3"/>
    <w:basedOn w:val="Normal"/>
    <w:next w:val="Normal"/>
    <w:link w:val="Titlu3Caracter"/>
    <w:uiPriority w:val="9"/>
    <w:semiHidden/>
    <w:unhideWhenUsed/>
    <w:qFormat/>
    <w:rsid w:val="00E00B9E"/>
    <w:pPr>
      <w:keepNext/>
      <w:keepLines/>
      <w:spacing w:before="160" w:after="80"/>
      <w:outlineLvl w:val="2"/>
    </w:pPr>
    <w:rPr>
      <w:rFonts w:eastAsiaTheme="majorEastAsia" w:cstheme="majorBidi"/>
      <w:color w:val="0F4761" w:themeColor="accent1" w:themeShade="BF"/>
      <w:sz w:val="28"/>
      <w:szCs w:val="28"/>
    </w:rPr>
  </w:style>
  <w:style w:type="paragraph" w:styleId="Titlu4">
    <w:name w:val="heading 4"/>
    <w:basedOn w:val="Normal"/>
    <w:next w:val="Normal"/>
    <w:link w:val="Titlu4Caracter"/>
    <w:uiPriority w:val="9"/>
    <w:semiHidden/>
    <w:unhideWhenUsed/>
    <w:qFormat/>
    <w:rsid w:val="00E00B9E"/>
    <w:pPr>
      <w:keepNext/>
      <w:keepLines/>
      <w:spacing w:before="80" w:after="40"/>
      <w:outlineLvl w:val="3"/>
    </w:pPr>
    <w:rPr>
      <w:rFonts w:eastAsiaTheme="majorEastAsia" w:cstheme="majorBidi"/>
      <w:i/>
      <w:iCs/>
      <w:color w:val="0F4761" w:themeColor="accent1" w:themeShade="BF"/>
    </w:rPr>
  </w:style>
  <w:style w:type="paragraph" w:styleId="Titlu5">
    <w:name w:val="heading 5"/>
    <w:basedOn w:val="Normal"/>
    <w:next w:val="Normal"/>
    <w:link w:val="Titlu5Caracter"/>
    <w:uiPriority w:val="9"/>
    <w:semiHidden/>
    <w:unhideWhenUsed/>
    <w:qFormat/>
    <w:rsid w:val="00E00B9E"/>
    <w:pPr>
      <w:keepNext/>
      <w:keepLines/>
      <w:spacing w:before="80" w:after="40"/>
      <w:outlineLvl w:val="4"/>
    </w:pPr>
    <w:rPr>
      <w:rFonts w:eastAsiaTheme="majorEastAsia" w:cstheme="majorBidi"/>
      <w:color w:val="0F4761" w:themeColor="accent1" w:themeShade="BF"/>
    </w:rPr>
  </w:style>
  <w:style w:type="paragraph" w:styleId="Titlu6">
    <w:name w:val="heading 6"/>
    <w:basedOn w:val="Normal"/>
    <w:next w:val="Normal"/>
    <w:link w:val="Titlu6Caracter"/>
    <w:uiPriority w:val="9"/>
    <w:semiHidden/>
    <w:unhideWhenUsed/>
    <w:qFormat/>
    <w:rsid w:val="00E00B9E"/>
    <w:pPr>
      <w:keepNext/>
      <w:keepLines/>
      <w:spacing w:before="40" w:after="0"/>
      <w:outlineLvl w:val="5"/>
    </w:pPr>
    <w:rPr>
      <w:rFonts w:eastAsiaTheme="majorEastAsia" w:cstheme="majorBidi"/>
      <w:i/>
      <w:iCs/>
      <w:color w:val="595959" w:themeColor="text1" w:themeTint="A6"/>
    </w:rPr>
  </w:style>
  <w:style w:type="paragraph" w:styleId="Titlu7">
    <w:name w:val="heading 7"/>
    <w:basedOn w:val="Normal"/>
    <w:next w:val="Normal"/>
    <w:link w:val="Titlu7Caracter"/>
    <w:uiPriority w:val="9"/>
    <w:semiHidden/>
    <w:unhideWhenUsed/>
    <w:qFormat/>
    <w:rsid w:val="00E00B9E"/>
    <w:pPr>
      <w:keepNext/>
      <w:keepLines/>
      <w:spacing w:before="40" w:after="0"/>
      <w:outlineLvl w:val="6"/>
    </w:pPr>
    <w:rPr>
      <w:rFonts w:eastAsiaTheme="majorEastAsia" w:cstheme="majorBidi"/>
      <w:color w:val="595959" w:themeColor="text1" w:themeTint="A6"/>
    </w:rPr>
  </w:style>
  <w:style w:type="paragraph" w:styleId="Titlu8">
    <w:name w:val="heading 8"/>
    <w:basedOn w:val="Normal"/>
    <w:next w:val="Normal"/>
    <w:link w:val="Titlu8Caracter"/>
    <w:uiPriority w:val="9"/>
    <w:semiHidden/>
    <w:unhideWhenUsed/>
    <w:qFormat/>
    <w:rsid w:val="00E00B9E"/>
    <w:pPr>
      <w:keepNext/>
      <w:keepLines/>
      <w:spacing w:after="0"/>
      <w:outlineLvl w:val="7"/>
    </w:pPr>
    <w:rPr>
      <w:rFonts w:eastAsiaTheme="majorEastAsia" w:cstheme="majorBidi"/>
      <w:i/>
      <w:iCs/>
      <w:color w:val="272727" w:themeColor="text1" w:themeTint="D8"/>
    </w:rPr>
  </w:style>
  <w:style w:type="paragraph" w:styleId="Titlu9">
    <w:name w:val="heading 9"/>
    <w:basedOn w:val="Normal"/>
    <w:next w:val="Normal"/>
    <w:link w:val="Titlu9Caracter"/>
    <w:uiPriority w:val="9"/>
    <w:semiHidden/>
    <w:unhideWhenUsed/>
    <w:qFormat/>
    <w:rsid w:val="00E00B9E"/>
    <w:pPr>
      <w:keepNext/>
      <w:keepLines/>
      <w:spacing w:after="0"/>
      <w:outlineLvl w:val="8"/>
    </w:pPr>
    <w:rPr>
      <w:rFonts w:eastAsiaTheme="majorEastAsia" w:cstheme="majorBidi"/>
      <w:color w:val="272727" w:themeColor="text1" w:themeTint="D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E00B9E"/>
    <w:rPr>
      <w:rFonts w:asciiTheme="majorHAnsi" w:eastAsiaTheme="majorEastAsia" w:hAnsiTheme="majorHAnsi" w:cstheme="majorBidi"/>
      <w:color w:val="0F4761" w:themeColor="accent1" w:themeShade="BF"/>
      <w:sz w:val="40"/>
      <w:szCs w:val="40"/>
    </w:rPr>
  </w:style>
  <w:style w:type="character" w:customStyle="1" w:styleId="Titlu2Caracter">
    <w:name w:val="Titlu 2 Caracter"/>
    <w:basedOn w:val="Fontdeparagrafimplicit"/>
    <w:link w:val="Titlu2"/>
    <w:uiPriority w:val="9"/>
    <w:semiHidden/>
    <w:rsid w:val="00E00B9E"/>
    <w:rPr>
      <w:rFonts w:asciiTheme="majorHAnsi" w:eastAsiaTheme="majorEastAsia" w:hAnsiTheme="majorHAnsi" w:cstheme="majorBidi"/>
      <w:color w:val="0F4761" w:themeColor="accent1" w:themeShade="BF"/>
      <w:sz w:val="32"/>
      <w:szCs w:val="32"/>
    </w:rPr>
  </w:style>
  <w:style w:type="character" w:customStyle="1" w:styleId="Titlu3Caracter">
    <w:name w:val="Titlu 3 Caracter"/>
    <w:basedOn w:val="Fontdeparagrafimplicit"/>
    <w:link w:val="Titlu3"/>
    <w:uiPriority w:val="9"/>
    <w:semiHidden/>
    <w:rsid w:val="00E00B9E"/>
    <w:rPr>
      <w:rFonts w:eastAsiaTheme="majorEastAsia" w:cstheme="majorBidi"/>
      <w:color w:val="0F4761" w:themeColor="accent1" w:themeShade="BF"/>
      <w:sz w:val="28"/>
      <w:szCs w:val="28"/>
    </w:rPr>
  </w:style>
  <w:style w:type="character" w:customStyle="1" w:styleId="Titlu4Caracter">
    <w:name w:val="Titlu 4 Caracter"/>
    <w:basedOn w:val="Fontdeparagrafimplicit"/>
    <w:link w:val="Titlu4"/>
    <w:uiPriority w:val="9"/>
    <w:semiHidden/>
    <w:rsid w:val="00E00B9E"/>
    <w:rPr>
      <w:rFonts w:eastAsiaTheme="majorEastAsia" w:cstheme="majorBidi"/>
      <w:i/>
      <w:iCs/>
      <w:color w:val="0F4761" w:themeColor="accent1" w:themeShade="BF"/>
    </w:rPr>
  </w:style>
  <w:style w:type="character" w:customStyle="1" w:styleId="Titlu5Caracter">
    <w:name w:val="Titlu 5 Caracter"/>
    <w:basedOn w:val="Fontdeparagrafimplicit"/>
    <w:link w:val="Titlu5"/>
    <w:uiPriority w:val="9"/>
    <w:semiHidden/>
    <w:rsid w:val="00E00B9E"/>
    <w:rPr>
      <w:rFonts w:eastAsiaTheme="majorEastAsia" w:cstheme="majorBidi"/>
      <w:color w:val="0F4761" w:themeColor="accent1" w:themeShade="BF"/>
    </w:rPr>
  </w:style>
  <w:style w:type="character" w:customStyle="1" w:styleId="Titlu6Caracter">
    <w:name w:val="Titlu 6 Caracter"/>
    <w:basedOn w:val="Fontdeparagrafimplicit"/>
    <w:link w:val="Titlu6"/>
    <w:uiPriority w:val="9"/>
    <w:semiHidden/>
    <w:rsid w:val="00E00B9E"/>
    <w:rPr>
      <w:rFonts w:eastAsiaTheme="majorEastAsia" w:cstheme="majorBidi"/>
      <w:i/>
      <w:iCs/>
      <w:color w:val="595959" w:themeColor="text1" w:themeTint="A6"/>
    </w:rPr>
  </w:style>
  <w:style w:type="character" w:customStyle="1" w:styleId="Titlu7Caracter">
    <w:name w:val="Titlu 7 Caracter"/>
    <w:basedOn w:val="Fontdeparagrafimplicit"/>
    <w:link w:val="Titlu7"/>
    <w:uiPriority w:val="9"/>
    <w:semiHidden/>
    <w:rsid w:val="00E00B9E"/>
    <w:rPr>
      <w:rFonts w:eastAsiaTheme="majorEastAsia" w:cstheme="majorBidi"/>
      <w:color w:val="595959" w:themeColor="text1" w:themeTint="A6"/>
    </w:rPr>
  </w:style>
  <w:style w:type="character" w:customStyle="1" w:styleId="Titlu8Caracter">
    <w:name w:val="Titlu 8 Caracter"/>
    <w:basedOn w:val="Fontdeparagrafimplicit"/>
    <w:link w:val="Titlu8"/>
    <w:uiPriority w:val="9"/>
    <w:semiHidden/>
    <w:rsid w:val="00E00B9E"/>
    <w:rPr>
      <w:rFonts w:eastAsiaTheme="majorEastAsia" w:cstheme="majorBidi"/>
      <w:i/>
      <w:iCs/>
      <w:color w:val="272727" w:themeColor="text1" w:themeTint="D8"/>
    </w:rPr>
  </w:style>
  <w:style w:type="character" w:customStyle="1" w:styleId="Titlu9Caracter">
    <w:name w:val="Titlu 9 Caracter"/>
    <w:basedOn w:val="Fontdeparagrafimplicit"/>
    <w:link w:val="Titlu9"/>
    <w:uiPriority w:val="9"/>
    <w:semiHidden/>
    <w:rsid w:val="00E00B9E"/>
    <w:rPr>
      <w:rFonts w:eastAsiaTheme="majorEastAsia" w:cstheme="majorBidi"/>
      <w:color w:val="272727" w:themeColor="text1" w:themeTint="D8"/>
    </w:rPr>
  </w:style>
  <w:style w:type="paragraph" w:styleId="Titlu">
    <w:name w:val="Title"/>
    <w:basedOn w:val="Normal"/>
    <w:next w:val="Normal"/>
    <w:link w:val="TitluCaracter"/>
    <w:uiPriority w:val="10"/>
    <w:qFormat/>
    <w:rsid w:val="00E00B9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E00B9E"/>
    <w:rPr>
      <w:rFonts w:asciiTheme="majorHAnsi" w:eastAsiaTheme="majorEastAsia" w:hAnsiTheme="majorHAnsi" w:cstheme="majorBidi"/>
      <w:spacing w:val="-10"/>
      <w:kern w:val="28"/>
      <w:sz w:val="56"/>
      <w:szCs w:val="56"/>
    </w:rPr>
  </w:style>
  <w:style w:type="paragraph" w:styleId="Subtitlu">
    <w:name w:val="Subtitle"/>
    <w:basedOn w:val="Normal"/>
    <w:next w:val="Normal"/>
    <w:link w:val="SubtitluCaracter"/>
    <w:uiPriority w:val="11"/>
    <w:qFormat/>
    <w:rsid w:val="00E00B9E"/>
    <w:pPr>
      <w:numPr>
        <w:ilvl w:val="1"/>
      </w:numPr>
    </w:pPr>
    <w:rPr>
      <w:rFonts w:eastAsiaTheme="majorEastAsia" w:cstheme="majorBidi"/>
      <w:color w:val="595959" w:themeColor="text1" w:themeTint="A6"/>
      <w:spacing w:val="15"/>
      <w:sz w:val="28"/>
      <w:szCs w:val="28"/>
    </w:rPr>
  </w:style>
  <w:style w:type="character" w:customStyle="1" w:styleId="SubtitluCaracter">
    <w:name w:val="Subtitlu Caracter"/>
    <w:basedOn w:val="Fontdeparagrafimplicit"/>
    <w:link w:val="Subtitlu"/>
    <w:uiPriority w:val="11"/>
    <w:rsid w:val="00E00B9E"/>
    <w:rPr>
      <w:rFonts w:eastAsiaTheme="majorEastAsia" w:cstheme="majorBidi"/>
      <w:color w:val="595959" w:themeColor="text1" w:themeTint="A6"/>
      <w:spacing w:val="15"/>
      <w:sz w:val="28"/>
      <w:szCs w:val="28"/>
    </w:rPr>
  </w:style>
  <w:style w:type="paragraph" w:styleId="Citat">
    <w:name w:val="Quote"/>
    <w:basedOn w:val="Normal"/>
    <w:next w:val="Normal"/>
    <w:link w:val="CitatCaracter"/>
    <w:uiPriority w:val="29"/>
    <w:qFormat/>
    <w:rsid w:val="00E00B9E"/>
    <w:pPr>
      <w:spacing w:before="160"/>
      <w:jc w:val="center"/>
    </w:pPr>
    <w:rPr>
      <w:i/>
      <w:iCs/>
      <w:color w:val="404040" w:themeColor="text1" w:themeTint="BF"/>
    </w:rPr>
  </w:style>
  <w:style w:type="character" w:customStyle="1" w:styleId="CitatCaracter">
    <w:name w:val="Citat Caracter"/>
    <w:basedOn w:val="Fontdeparagrafimplicit"/>
    <w:link w:val="Citat"/>
    <w:uiPriority w:val="29"/>
    <w:rsid w:val="00E00B9E"/>
    <w:rPr>
      <w:i/>
      <w:iCs/>
      <w:color w:val="404040" w:themeColor="text1" w:themeTint="BF"/>
    </w:rPr>
  </w:style>
  <w:style w:type="paragraph" w:styleId="Listparagraf">
    <w:name w:val="List Paragraph"/>
    <w:basedOn w:val="Normal"/>
    <w:uiPriority w:val="34"/>
    <w:qFormat/>
    <w:rsid w:val="00E00B9E"/>
    <w:pPr>
      <w:ind w:left="720"/>
      <w:contextualSpacing/>
    </w:pPr>
  </w:style>
  <w:style w:type="character" w:styleId="Accentuareintens">
    <w:name w:val="Intense Emphasis"/>
    <w:basedOn w:val="Fontdeparagrafimplicit"/>
    <w:uiPriority w:val="21"/>
    <w:qFormat/>
    <w:rsid w:val="00E00B9E"/>
    <w:rPr>
      <w:i/>
      <w:iCs/>
      <w:color w:val="0F4761" w:themeColor="accent1" w:themeShade="BF"/>
    </w:rPr>
  </w:style>
  <w:style w:type="paragraph" w:styleId="Citatintens">
    <w:name w:val="Intense Quote"/>
    <w:basedOn w:val="Normal"/>
    <w:next w:val="Normal"/>
    <w:link w:val="CitatintensCaracter"/>
    <w:uiPriority w:val="30"/>
    <w:qFormat/>
    <w:rsid w:val="00E00B9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ntensCaracter">
    <w:name w:val="Citat intens Caracter"/>
    <w:basedOn w:val="Fontdeparagrafimplicit"/>
    <w:link w:val="Citatintens"/>
    <w:uiPriority w:val="30"/>
    <w:rsid w:val="00E00B9E"/>
    <w:rPr>
      <w:i/>
      <w:iCs/>
      <w:color w:val="0F4761" w:themeColor="accent1" w:themeShade="BF"/>
    </w:rPr>
  </w:style>
  <w:style w:type="character" w:styleId="Referireintens">
    <w:name w:val="Intense Reference"/>
    <w:basedOn w:val="Fontdeparagrafimplicit"/>
    <w:uiPriority w:val="32"/>
    <w:qFormat/>
    <w:rsid w:val="00E00B9E"/>
    <w:rPr>
      <w:b/>
      <w:bCs/>
      <w:smallCaps/>
      <w:color w:val="0F4761" w:themeColor="accent1" w:themeShade="BF"/>
      <w:spacing w:val="5"/>
    </w:rPr>
  </w:style>
  <w:style w:type="character" w:styleId="Hyperlink">
    <w:name w:val="Hyperlink"/>
    <w:basedOn w:val="Fontdeparagrafimplicit"/>
    <w:uiPriority w:val="99"/>
    <w:unhideWhenUsed/>
    <w:rsid w:val="0020325F"/>
    <w:rPr>
      <w:color w:val="467886" w:themeColor="hyperlink"/>
      <w:u w:val="single"/>
    </w:rPr>
  </w:style>
  <w:style w:type="character" w:styleId="MeniuneNerezolvat">
    <w:name w:val="Unresolved Mention"/>
    <w:basedOn w:val="Fontdeparagrafimplicit"/>
    <w:uiPriority w:val="99"/>
    <w:semiHidden/>
    <w:unhideWhenUsed/>
    <w:rsid w:val="0020325F"/>
    <w:rPr>
      <w:color w:val="605E5C"/>
      <w:shd w:val="clear" w:color="auto" w:fill="E1DFDD"/>
    </w:rPr>
  </w:style>
  <w:style w:type="paragraph" w:styleId="Textnotdesubsol">
    <w:name w:val="footnote text"/>
    <w:basedOn w:val="Normal"/>
    <w:link w:val="TextnotdesubsolCaracter"/>
    <w:uiPriority w:val="99"/>
    <w:semiHidden/>
    <w:unhideWhenUsed/>
    <w:rsid w:val="00DB0D83"/>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DB0D83"/>
    <w:rPr>
      <w:sz w:val="20"/>
      <w:szCs w:val="20"/>
    </w:rPr>
  </w:style>
  <w:style w:type="character" w:styleId="Referinnotdesubsol">
    <w:name w:val="footnote reference"/>
    <w:basedOn w:val="Fontdeparagrafimplicit"/>
    <w:uiPriority w:val="99"/>
    <w:semiHidden/>
    <w:unhideWhenUsed/>
    <w:rsid w:val="00DB0D83"/>
    <w:rPr>
      <w:vertAlign w:val="superscript"/>
    </w:rPr>
  </w:style>
  <w:style w:type="character" w:styleId="HyperlinkParcurs">
    <w:name w:val="FollowedHyperlink"/>
    <w:basedOn w:val="Fontdeparagrafimplicit"/>
    <w:uiPriority w:val="99"/>
    <w:semiHidden/>
    <w:unhideWhenUsed/>
    <w:rsid w:val="00DB0D83"/>
    <w:rPr>
      <w:color w:val="96607D" w:themeColor="followedHyperlink"/>
      <w:u w:val="single"/>
    </w:rPr>
  </w:style>
  <w:style w:type="paragraph" w:styleId="Antet">
    <w:name w:val="header"/>
    <w:basedOn w:val="Normal"/>
    <w:link w:val="AntetCaracter"/>
    <w:uiPriority w:val="99"/>
    <w:unhideWhenUsed/>
    <w:rsid w:val="00D70DF7"/>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D70DF7"/>
  </w:style>
  <w:style w:type="paragraph" w:styleId="Subsol">
    <w:name w:val="footer"/>
    <w:basedOn w:val="Normal"/>
    <w:link w:val="SubsolCaracter"/>
    <w:uiPriority w:val="99"/>
    <w:unhideWhenUsed/>
    <w:rsid w:val="00D70DF7"/>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D70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9208249">
      <w:bodyDiv w:val="1"/>
      <w:marLeft w:val="0"/>
      <w:marRight w:val="0"/>
      <w:marTop w:val="0"/>
      <w:marBottom w:val="0"/>
      <w:divBdr>
        <w:top w:val="none" w:sz="0" w:space="0" w:color="auto"/>
        <w:left w:val="none" w:sz="0" w:space="0" w:color="auto"/>
        <w:bottom w:val="none" w:sz="0" w:space="0" w:color="auto"/>
        <w:right w:val="none" w:sz="0" w:space="0" w:color="auto"/>
      </w:divBdr>
      <w:divsChild>
        <w:div w:id="1794518697">
          <w:marLeft w:val="0"/>
          <w:marRight w:val="0"/>
          <w:marTop w:val="120"/>
          <w:marBottom w:val="0"/>
          <w:divBdr>
            <w:top w:val="none" w:sz="0" w:space="0" w:color="auto"/>
            <w:left w:val="none" w:sz="0" w:space="0" w:color="auto"/>
            <w:bottom w:val="none" w:sz="0" w:space="0" w:color="auto"/>
            <w:right w:val="none" w:sz="0" w:space="0" w:color="auto"/>
          </w:divBdr>
          <w:divsChild>
            <w:div w:id="26220048">
              <w:marLeft w:val="0"/>
              <w:marRight w:val="0"/>
              <w:marTop w:val="0"/>
              <w:marBottom w:val="0"/>
              <w:divBdr>
                <w:top w:val="none" w:sz="0" w:space="0" w:color="auto"/>
                <w:left w:val="none" w:sz="0" w:space="0" w:color="auto"/>
                <w:bottom w:val="none" w:sz="0" w:space="0" w:color="auto"/>
                <w:right w:val="none" w:sz="0" w:space="0" w:color="auto"/>
              </w:divBdr>
            </w:div>
          </w:divsChild>
        </w:div>
        <w:div w:id="1386686328">
          <w:marLeft w:val="0"/>
          <w:marRight w:val="0"/>
          <w:marTop w:val="120"/>
          <w:marBottom w:val="0"/>
          <w:divBdr>
            <w:top w:val="none" w:sz="0" w:space="0" w:color="auto"/>
            <w:left w:val="none" w:sz="0" w:space="0" w:color="auto"/>
            <w:bottom w:val="none" w:sz="0" w:space="0" w:color="auto"/>
            <w:right w:val="none" w:sz="0" w:space="0" w:color="auto"/>
          </w:divBdr>
          <w:divsChild>
            <w:div w:id="211505036">
              <w:marLeft w:val="0"/>
              <w:marRight w:val="0"/>
              <w:marTop w:val="0"/>
              <w:marBottom w:val="0"/>
              <w:divBdr>
                <w:top w:val="none" w:sz="0" w:space="0" w:color="auto"/>
                <w:left w:val="none" w:sz="0" w:space="0" w:color="auto"/>
                <w:bottom w:val="none" w:sz="0" w:space="0" w:color="auto"/>
                <w:right w:val="none" w:sz="0" w:space="0" w:color="auto"/>
              </w:divBdr>
            </w:div>
          </w:divsChild>
        </w:div>
        <w:div w:id="804005581">
          <w:marLeft w:val="0"/>
          <w:marRight w:val="0"/>
          <w:marTop w:val="120"/>
          <w:marBottom w:val="0"/>
          <w:divBdr>
            <w:top w:val="none" w:sz="0" w:space="0" w:color="auto"/>
            <w:left w:val="none" w:sz="0" w:space="0" w:color="auto"/>
            <w:bottom w:val="none" w:sz="0" w:space="0" w:color="auto"/>
            <w:right w:val="none" w:sz="0" w:space="0" w:color="auto"/>
          </w:divBdr>
          <w:divsChild>
            <w:div w:id="1289431931">
              <w:marLeft w:val="0"/>
              <w:marRight w:val="0"/>
              <w:marTop w:val="0"/>
              <w:marBottom w:val="0"/>
              <w:divBdr>
                <w:top w:val="none" w:sz="0" w:space="0" w:color="auto"/>
                <w:left w:val="none" w:sz="0" w:space="0" w:color="auto"/>
                <w:bottom w:val="none" w:sz="0" w:space="0" w:color="auto"/>
                <w:right w:val="none" w:sz="0" w:space="0" w:color="auto"/>
              </w:divBdr>
            </w:div>
          </w:divsChild>
        </w:div>
        <w:div w:id="1511213075">
          <w:marLeft w:val="0"/>
          <w:marRight w:val="0"/>
          <w:marTop w:val="120"/>
          <w:marBottom w:val="0"/>
          <w:divBdr>
            <w:top w:val="none" w:sz="0" w:space="0" w:color="auto"/>
            <w:left w:val="none" w:sz="0" w:space="0" w:color="auto"/>
            <w:bottom w:val="none" w:sz="0" w:space="0" w:color="auto"/>
            <w:right w:val="none" w:sz="0" w:space="0" w:color="auto"/>
          </w:divBdr>
          <w:divsChild>
            <w:div w:id="604922035">
              <w:marLeft w:val="0"/>
              <w:marRight w:val="0"/>
              <w:marTop w:val="0"/>
              <w:marBottom w:val="0"/>
              <w:divBdr>
                <w:top w:val="none" w:sz="0" w:space="0" w:color="auto"/>
                <w:left w:val="none" w:sz="0" w:space="0" w:color="auto"/>
                <w:bottom w:val="none" w:sz="0" w:space="0" w:color="auto"/>
                <w:right w:val="none" w:sz="0" w:space="0" w:color="auto"/>
              </w:divBdr>
            </w:div>
          </w:divsChild>
        </w:div>
        <w:div w:id="151146386">
          <w:marLeft w:val="0"/>
          <w:marRight w:val="0"/>
          <w:marTop w:val="120"/>
          <w:marBottom w:val="0"/>
          <w:divBdr>
            <w:top w:val="none" w:sz="0" w:space="0" w:color="auto"/>
            <w:left w:val="none" w:sz="0" w:space="0" w:color="auto"/>
            <w:bottom w:val="none" w:sz="0" w:space="0" w:color="auto"/>
            <w:right w:val="none" w:sz="0" w:space="0" w:color="auto"/>
          </w:divBdr>
          <w:divsChild>
            <w:div w:id="820387449">
              <w:marLeft w:val="0"/>
              <w:marRight w:val="0"/>
              <w:marTop w:val="0"/>
              <w:marBottom w:val="0"/>
              <w:divBdr>
                <w:top w:val="none" w:sz="0" w:space="0" w:color="auto"/>
                <w:left w:val="none" w:sz="0" w:space="0" w:color="auto"/>
                <w:bottom w:val="none" w:sz="0" w:space="0" w:color="auto"/>
                <w:right w:val="none" w:sz="0" w:space="0" w:color="auto"/>
              </w:divBdr>
            </w:div>
          </w:divsChild>
        </w:div>
        <w:div w:id="1451246039">
          <w:marLeft w:val="0"/>
          <w:marRight w:val="0"/>
          <w:marTop w:val="120"/>
          <w:marBottom w:val="0"/>
          <w:divBdr>
            <w:top w:val="none" w:sz="0" w:space="0" w:color="auto"/>
            <w:left w:val="none" w:sz="0" w:space="0" w:color="auto"/>
            <w:bottom w:val="none" w:sz="0" w:space="0" w:color="auto"/>
            <w:right w:val="none" w:sz="0" w:space="0" w:color="auto"/>
          </w:divBdr>
          <w:divsChild>
            <w:div w:id="643507865">
              <w:marLeft w:val="0"/>
              <w:marRight w:val="0"/>
              <w:marTop w:val="0"/>
              <w:marBottom w:val="0"/>
              <w:divBdr>
                <w:top w:val="none" w:sz="0" w:space="0" w:color="auto"/>
                <w:left w:val="none" w:sz="0" w:space="0" w:color="auto"/>
                <w:bottom w:val="none" w:sz="0" w:space="0" w:color="auto"/>
                <w:right w:val="none" w:sz="0" w:space="0" w:color="auto"/>
              </w:divBdr>
            </w:div>
          </w:divsChild>
        </w:div>
        <w:div w:id="743914612">
          <w:marLeft w:val="0"/>
          <w:marRight w:val="0"/>
          <w:marTop w:val="120"/>
          <w:marBottom w:val="0"/>
          <w:divBdr>
            <w:top w:val="none" w:sz="0" w:space="0" w:color="auto"/>
            <w:left w:val="none" w:sz="0" w:space="0" w:color="auto"/>
            <w:bottom w:val="none" w:sz="0" w:space="0" w:color="auto"/>
            <w:right w:val="none" w:sz="0" w:space="0" w:color="auto"/>
          </w:divBdr>
          <w:divsChild>
            <w:div w:id="1671985292">
              <w:marLeft w:val="0"/>
              <w:marRight w:val="0"/>
              <w:marTop w:val="0"/>
              <w:marBottom w:val="0"/>
              <w:divBdr>
                <w:top w:val="none" w:sz="0" w:space="0" w:color="auto"/>
                <w:left w:val="none" w:sz="0" w:space="0" w:color="auto"/>
                <w:bottom w:val="none" w:sz="0" w:space="0" w:color="auto"/>
                <w:right w:val="none" w:sz="0" w:space="0" w:color="auto"/>
              </w:divBdr>
            </w:div>
            <w:div w:id="746075784">
              <w:marLeft w:val="0"/>
              <w:marRight w:val="0"/>
              <w:marTop w:val="0"/>
              <w:marBottom w:val="0"/>
              <w:divBdr>
                <w:top w:val="none" w:sz="0" w:space="0" w:color="auto"/>
                <w:left w:val="none" w:sz="0" w:space="0" w:color="auto"/>
                <w:bottom w:val="none" w:sz="0" w:space="0" w:color="auto"/>
                <w:right w:val="none" w:sz="0" w:space="0" w:color="auto"/>
              </w:divBdr>
            </w:div>
            <w:div w:id="695354430">
              <w:marLeft w:val="0"/>
              <w:marRight w:val="0"/>
              <w:marTop w:val="0"/>
              <w:marBottom w:val="0"/>
              <w:divBdr>
                <w:top w:val="none" w:sz="0" w:space="0" w:color="auto"/>
                <w:left w:val="none" w:sz="0" w:space="0" w:color="auto"/>
                <w:bottom w:val="none" w:sz="0" w:space="0" w:color="auto"/>
                <w:right w:val="none" w:sz="0" w:space="0" w:color="auto"/>
              </w:divBdr>
            </w:div>
          </w:divsChild>
        </w:div>
        <w:div w:id="1608350648">
          <w:marLeft w:val="0"/>
          <w:marRight w:val="0"/>
          <w:marTop w:val="120"/>
          <w:marBottom w:val="0"/>
          <w:divBdr>
            <w:top w:val="none" w:sz="0" w:space="0" w:color="auto"/>
            <w:left w:val="none" w:sz="0" w:space="0" w:color="auto"/>
            <w:bottom w:val="none" w:sz="0" w:space="0" w:color="auto"/>
            <w:right w:val="none" w:sz="0" w:space="0" w:color="auto"/>
          </w:divBdr>
          <w:divsChild>
            <w:div w:id="1263800464">
              <w:marLeft w:val="0"/>
              <w:marRight w:val="0"/>
              <w:marTop w:val="0"/>
              <w:marBottom w:val="0"/>
              <w:divBdr>
                <w:top w:val="none" w:sz="0" w:space="0" w:color="auto"/>
                <w:left w:val="none" w:sz="0" w:space="0" w:color="auto"/>
                <w:bottom w:val="none" w:sz="0" w:space="0" w:color="auto"/>
                <w:right w:val="none" w:sz="0" w:space="0" w:color="auto"/>
              </w:divBdr>
            </w:div>
          </w:divsChild>
        </w:div>
        <w:div w:id="645430222">
          <w:marLeft w:val="0"/>
          <w:marRight w:val="0"/>
          <w:marTop w:val="120"/>
          <w:marBottom w:val="0"/>
          <w:divBdr>
            <w:top w:val="none" w:sz="0" w:space="0" w:color="auto"/>
            <w:left w:val="none" w:sz="0" w:space="0" w:color="auto"/>
            <w:bottom w:val="none" w:sz="0" w:space="0" w:color="auto"/>
            <w:right w:val="none" w:sz="0" w:space="0" w:color="auto"/>
          </w:divBdr>
          <w:divsChild>
            <w:div w:id="1598638159">
              <w:marLeft w:val="0"/>
              <w:marRight w:val="0"/>
              <w:marTop w:val="0"/>
              <w:marBottom w:val="0"/>
              <w:divBdr>
                <w:top w:val="none" w:sz="0" w:space="0" w:color="auto"/>
                <w:left w:val="none" w:sz="0" w:space="0" w:color="auto"/>
                <w:bottom w:val="none" w:sz="0" w:space="0" w:color="auto"/>
                <w:right w:val="none" w:sz="0" w:space="0" w:color="auto"/>
              </w:divBdr>
            </w:div>
          </w:divsChild>
        </w:div>
        <w:div w:id="832334049">
          <w:marLeft w:val="0"/>
          <w:marRight w:val="0"/>
          <w:marTop w:val="120"/>
          <w:marBottom w:val="0"/>
          <w:divBdr>
            <w:top w:val="none" w:sz="0" w:space="0" w:color="auto"/>
            <w:left w:val="none" w:sz="0" w:space="0" w:color="auto"/>
            <w:bottom w:val="none" w:sz="0" w:space="0" w:color="auto"/>
            <w:right w:val="none" w:sz="0" w:space="0" w:color="auto"/>
          </w:divBdr>
          <w:divsChild>
            <w:div w:id="1236237949">
              <w:marLeft w:val="0"/>
              <w:marRight w:val="0"/>
              <w:marTop w:val="0"/>
              <w:marBottom w:val="0"/>
              <w:divBdr>
                <w:top w:val="none" w:sz="0" w:space="0" w:color="auto"/>
                <w:left w:val="none" w:sz="0" w:space="0" w:color="auto"/>
                <w:bottom w:val="none" w:sz="0" w:space="0" w:color="auto"/>
                <w:right w:val="none" w:sz="0" w:space="0" w:color="auto"/>
              </w:divBdr>
            </w:div>
            <w:div w:id="717317634">
              <w:marLeft w:val="0"/>
              <w:marRight w:val="0"/>
              <w:marTop w:val="0"/>
              <w:marBottom w:val="0"/>
              <w:divBdr>
                <w:top w:val="none" w:sz="0" w:space="0" w:color="auto"/>
                <w:left w:val="none" w:sz="0" w:space="0" w:color="auto"/>
                <w:bottom w:val="none" w:sz="0" w:space="0" w:color="auto"/>
                <w:right w:val="none" w:sz="0" w:space="0" w:color="auto"/>
              </w:divBdr>
            </w:div>
            <w:div w:id="165633199">
              <w:marLeft w:val="0"/>
              <w:marRight w:val="0"/>
              <w:marTop w:val="0"/>
              <w:marBottom w:val="0"/>
              <w:divBdr>
                <w:top w:val="none" w:sz="0" w:space="0" w:color="auto"/>
                <w:left w:val="none" w:sz="0" w:space="0" w:color="auto"/>
                <w:bottom w:val="none" w:sz="0" w:space="0" w:color="auto"/>
                <w:right w:val="none" w:sz="0" w:space="0" w:color="auto"/>
              </w:divBdr>
            </w:div>
            <w:div w:id="1357775406">
              <w:marLeft w:val="0"/>
              <w:marRight w:val="0"/>
              <w:marTop w:val="0"/>
              <w:marBottom w:val="0"/>
              <w:divBdr>
                <w:top w:val="none" w:sz="0" w:space="0" w:color="auto"/>
                <w:left w:val="none" w:sz="0" w:space="0" w:color="auto"/>
                <w:bottom w:val="none" w:sz="0" w:space="0" w:color="auto"/>
                <w:right w:val="none" w:sz="0" w:space="0" w:color="auto"/>
              </w:divBdr>
            </w:div>
            <w:div w:id="437406315">
              <w:marLeft w:val="0"/>
              <w:marRight w:val="0"/>
              <w:marTop w:val="0"/>
              <w:marBottom w:val="0"/>
              <w:divBdr>
                <w:top w:val="none" w:sz="0" w:space="0" w:color="auto"/>
                <w:left w:val="none" w:sz="0" w:space="0" w:color="auto"/>
                <w:bottom w:val="none" w:sz="0" w:space="0" w:color="auto"/>
                <w:right w:val="none" w:sz="0" w:space="0" w:color="auto"/>
              </w:divBdr>
            </w:div>
            <w:div w:id="2086338749">
              <w:marLeft w:val="0"/>
              <w:marRight w:val="0"/>
              <w:marTop w:val="0"/>
              <w:marBottom w:val="0"/>
              <w:divBdr>
                <w:top w:val="none" w:sz="0" w:space="0" w:color="auto"/>
                <w:left w:val="none" w:sz="0" w:space="0" w:color="auto"/>
                <w:bottom w:val="none" w:sz="0" w:space="0" w:color="auto"/>
                <w:right w:val="none" w:sz="0" w:space="0" w:color="auto"/>
              </w:divBdr>
            </w:div>
            <w:div w:id="1272779733">
              <w:marLeft w:val="0"/>
              <w:marRight w:val="0"/>
              <w:marTop w:val="0"/>
              <w:marBottom w:val="0"/>
              <w:divBdr>
                <w:top w:val="none" w:sz="0" w:space="0" w:color="auto"/>
                <w:left w:val="none" w:sz="0" w:space="0" w:color="auto"/>
                <w:bottom w:val="none" w:sz="0" w:space="0" w:color="auto"/>
                <w:right w:val="none" w:sz="0" w:space="0" w:color="auto"/>
              </w:divBdr>
            </w:div>
            <w:div w:id="1594703060">
              <w:marLeft w:val="0"/>
              <w:marRight w:val="0"/>
              <w:marTop w:val="0"/>
              <w:marBottom w:val="0"/>
              <w:divBdr>
                <w:top w:val="none" w:sz="0" w:space="0" w:color="auto"/>
                <w:left w:val="none" w:sz="0" w:space="0" w:color="auto"/>
                <w:bottom w:val="none" w:sz="0" w:space="0" w:color="auto"/>
                <w:right w:val="none" w:sz="0" w:space="0" w:color="auto"/>
              </w:divBdr>
            </w:div>
          </w:divsChild>
        </w:div>
        <w:div w:id="992639010">
          <w:marLeft w:val="0"/>
          <w:marRight w:val="0"/>
          <w:marTop w:val="120"/>
          <w:marBottom w:val="0"/>
          <w:divBdr>
            <w:top w:val="none" w:sz="0" w:space="0" w:color="auto"/>
            <w:left w:val="none" w:sz="0" w:space="0" w:color="auto"/>
            <w:bottom w:val="none" w:sz="0" w:space="0" w:color="auto"/>
            <w:right w:val="none" w:sz="0" w:space="0" w:color="auto"/>
          </w:divBdr>
          <w:divsChild>
            <w:div w:id="355349212">
              <w:marLeft w:val="0"/>
              <w:marRight w:val="0"/>
              <w:marTop w:val="0"/>
              <w:marBottom w:val="0"/>
              <w:divBdr>
                <w:top w:val="none" w:sz="0" w:space="0" w:color="auto"/>
                <w:left w:val="none" w:sz="0" w:space="0" w:color="auto"/>
                <w:bottom w:val="none" w:sz="0" w:space="0" w:color="auto"/>
                <w:right w:val="none" w:sz="0" w:space="0" w:color="auto"/>
              </w:divBdr>
            </w:div>
          </w:divsChild>
        </w:div>
        <w:div w:id="184943661">
          <w:marLeft w:val="0"/>
          <w:marRight w:val="0"/>
          <w:marTop w:val="120"/>
          <w:marBottom w:val="0"/>
          <w:divBdr>
            <w:top w:val="none" w:sz="0" w:space="0" w:color="auto"/>
            <w:left w:val="none" w:sz="0" w:space="0" w:color="auto"/>
            <w:bottom w:val="none" w:sz="0" w:space="0" w:color="auto"/>
            <w:right w:val="none" w:sz="0" w:space="0" w:color="auto"/>
          </w:divBdr>
          <w:divsChild>
            <w:div w:id="1623414413">
              <w:marLeft w:val="0"/>
              <w:marRight w:val="0"/>
              <w:marTop w:val="0"/>
              <w:marBottom w:val="0"/>
              <w:divBdr>
                <w:top w:val="none" w:sz="0" w:space="0" w:color="auto"/>
                <w:left w:val="none" w:sz="0" w:space="0" w:color="auto"/>
                <w:bottom w:val="none" w:sz="0" w:space="0" w:color="auto"/>
                <w:right w:val="none" w:sz="0" w:space="0" w:color="auto"/>
              </w:divBdr>
            </w:div>
          </w:divsChild>
        </w:div>
        <w:div w:id="355544419">
          <w:marLeft w:val="0"/>
          <w:marRight w:val="0"/>
          <w:marTop w:val="120"/>
          <w:marBottom w:val="0"/>
          <w:divBdr>
            <w:top w:val="none" w:sz="0" w:space="0" w:color="auto"/>
            <w:left w:val="none" w:sz="0" w:space="0" w:color="auto"/>
            <w:bottom w:val="none" w:sz="0" w:space="0" w:color="auto"/>
            <w:right w:val="none" w:sz="0" w:space="0" w:color="auto"/>
          </w:divBdr>
          <w:divsChild>
            <w:div w:id="1293634265">
              <w:marLeft w:val="0"/>
              <w:marRight w:val="0"/>
              <w:marTop w:val="0"/>
              <w:marBottom w:val="0"/>
              <w:divBdr>
                <w:top w:val="none" w:sz="0" w:space="0" w:color="auto"/>
                <w:left w:val="none" w:sz="0" w:space="0" w:color="auto"/>
                <w:bottom w:val="none" w:sz="0" w:space="0" w:color="auto"/>
                <w:right w:val="none" w:sz="0" w:space="0" w:color="auto"/>
              </w:divBdr>
            </w:div>
          </w:divsChild>
        </w:div>
        <w:div w:id="1218468393">
          <w:marLeft w:val="0"/>
          <w:marRight w:val="0"/>
          <w:marTop w:val="120"/>
          <w:marBottom w:val="0"/>
          <w:divBdr>
            <w:top w:val="none" w:sz="0" w:space="0" w:color="auto"/>
            <w:left w:val="none" w:sz="0" w:space="0" w:color="auto"/>
            <w:bottom w:val="none" w:sz="0" w:space="0" w:color="auto"/>
            <w:right w:val="none" w:sz="0" w:space="0" w:color="auto"/>
          </w:divBdr>
          <w:divsChild>
            <w:div w:id="1237978468">
              <w:marLeft w:val="0"/>
              <w:marRight w:val="0"/>
              <w:marTop w:val="0"/>
              <w:marBottom w:val="0"/>
              <w:divBdr>
                <w:top w:val="none" w:sz="0" w:space="0" w:color="auto"/>
                <w:left w:val="none" w:sz="0" w:space="0" w:color="auto"/>
                <w:bottom w:val="none" w:sz="0" w:space="0" w:color="auto"/>
                <w:right w:val="none" w:sz="0" w:space="0" w:color="auto"/>
              </w:divBdr>
            </w:div>
          </w:divsChild>
        </w:div>
        <w:div w:id="1674532443">
          <w:marLeft w:val="0"/>
          <w:marRight w:val="0"/>
          <w:marTop w:val="120"/>
          <w:marBottom w:val="0"/>
          <w:divBdr>
            <w:top w:val="none" w:sz="0" w:space="0" w:color="auto"/>
            <w:left w:val="none" w:sz="0" w:space="0" w:color="auto"/>
            <w:bottom w:val="none" w:sz="0" w:space="0" w:color="auto"/>
            <w:right w:val="none" w:sz="0" w:space="0" w:color="auto"/>
          </w:divBdr>
          <w:divsChild>
            <w:div w:id="1933855015">
              <w:marLeft w:val="0"/>
              <w:marRight w:val="0"/>
              <w:marTop w:val="0"/>
              <w:marBottom w:val="0"/>
              <w:divBdr>
                <w:top w:val="none" w:sz="0" w:space="0" w:color="auto"/>
                <w:left w:val="none" w:sz="0" w:space="0" w:color="auto"/>
                <w:bottom w:val="none" w:sz="0" w:space="0" w:color="auto"/>
                <w:right w:val="none" w:sz="0" w:space="0" w:color="auto"/>
              </w:divBdr>
            </w:div>
            <w:div w:id="2115978521">
              <w:marLeft w:val="0"/>
              <w:marRight w:val="0"/>
              <w:marTop w:val="0"/>
              <w:marBottom w:val="0"/>
              <w:divBdr>
                <w:top w:val="none" w:sz="0" w:space="0" w:color="auto"/>
                <w:left w:val="none" w:sz="0" w:space="0" w:color="auto"/>
                <w:bottom w:val="none" w:sz="0" w:space="0" w:color="auto"/>
                <w:right w:val="none" w:sz="0" w:space="0" w:color="auto"/>
              </w:divBdr>
            </w:div>
          </w:divsChild>
        </w:div>
        <w:div w:id="403651291">
          <w:marLeft w:val="0"/>
          <w:marRight w:val="0"/>
          <w:marTop w:val="120"/>
          <w:marBottom w:val="0"/>
          <w:divBdr>
            <w:top w:val="none" w:sz="0" w:space="0" w:color="auto"/>
            <w:left w:val="none" w:sz="0" w:space="0" w:color="auto"/>
            <w:bottom w:val="none" w:sz="0" w:space="0" w:color="auto"/>
            <w:right w:val="none" w:sz="0" w:space="0" w:color="auto"/>
          </w:divBdr>
          <w:divsChild>
            <w:div w:id="266081568">
              <w:marLeft w:val="0"/>
              <w:marRight w:val="0"/>
              <w:marTop w:val="0"/>
              <w:marBottom w:val="0"/>
              <w:divBdr>
                <w:top w:val="none" w:sz="0" w:space="0" w:color="auto"/>
                <w:left w:val="none" w:sz="0" w:space="0" w:color="auto"/>
                <w:bottom w:val="none" w:sz="0" w:space="0" w:color="auto"/>
                <w:right w:val="none" w:sz="0" w:space="0" w:color="auto"/>
              </w:divBdr>
            </w:div>
            <w:div w:id="1985886867">
              <w:marLeft w:val="0"/>
              <w:marRight w:val="0"/>
              <w:marTop w:val="0"/>
              <w:marBottom w:val="0"/>
              <w:divBdr>
                <w:top w:val="none" w:sz="0" w:space="0" w:color="auto"/>
                <w:left w:val="none" w:sz="0" w:space="0" w:color="auto"/>
                <w:bottom w:val="none" w:sz="0" w:space="0" w:color="auto"/>
                <w:right w:val="none" w:sz="0" w:space="0" w:color="auto"/>
              </w:divBdr>
            </w:div>
            <w:div w:id="588271023">
              <w:marLeft w:val="0"/>
              <w:marRight w:val="0"/>
              <w:marTop w:val="0"/>
              <w:marBottom w:val="0"/>
              <w:divBdr>
                <w:top w:val="none" w:sz="0" w:space="0" w:color="auto"/>
                <w:left w:val="none" w:sz="0" w:space="0" w:color="auto"/>
                <w:bottom w:val="none" w:sz="0" w:space="0" w:color="auto"/>
                <w:right w:val="none" w:sz="0" w:space="0" w:color="auto"/>
              </w:divBdr>
            </w:div>
            <w:div w:id="1471090997">
              <w:marLeft w:val="0"/>
              <w:marRight w:val="0"/>
              <w:marTop w:val="0"/>
              <w:marBottom w:val="0"/>
              <w:divBdr>
                <w:top w:val="none" w:sz="0" w:space="0" w:color="auto"/>
                <w:left w:val="none" w:sz="0" w:space="0" w:color="auto"/>
                <w:bottom w:val="none" w:sz="0" w:space="0" w:color="auto"/>
                <w:right w:val="none" w:sz="0" w:space="0" w:color="auto"/>
              </w:divBdr>
            </w:div>
            <w:div w:id="906039178">
              <w:marLeft w:val="0"/>
              <w:marRight w:val="0"/>
              <w:marTop w:val="0"/>
              <w:marBottom w:val="0"/>
              <w:divBdr>
                <w:top w:val="none" w:sz="0" w:space="0" w:color="auto"/>
                <w:left w:val="none" w:sz="0" w:space="0" w:color="auto"/>
                <w:bottom w:val="none" w:sz="0" w:space="0" w:color="auto"/>
                <w:right w:val="none" w:sz="0" w:space="0" w:color="auto"/>
              </w:divBdr>
            </w:div>
            <w:div w:id="954140979">
              <w:marLeft w:val="0"/>
              <w:marRight w:val="0"/>
              <w:marTop w:val="0"/>
              <w:marBottom w:val="0"/>
              <w:divBdr>
                <w:top w:val="none" w:sz="0" w:space="0" w:color="auto"/>
                <w:left w:val="none" w:sz="0" w:space="0" w:color="auto"/>
                <w:bottom w:val="none" w:sz="0" w:space="0" w:color="auto"/>
                <w:right w:val="none" w:sz="0" w:space="0" w:color="auto"/>
              </w:divBdr>
            </w:div>
            <w:div w:id="119347642">
              <w:marLeft w:val="0"/>
              <w:marRight w:val="0"/>
              <w:marTop w:val="0"/>
              <w:marBottom w:val="0"/>
              <w:divBdr>
                <w:top w:val="none" w:sz="0" w:space="0" w:color="auto"/>
                <w:left w:val="none" w:sz="0" w:space="0" w:color="auto"/>
                <w:bottom w:val="none" w:sz="0" w:space="0" w:color="auto"/>
                <w:right w:val="none" w:sz="0" w:space="0" w:color="auto"/>
              </w:divBdr>
            </w:div>
            <w:div w:id="82387000">
              <w:marLeft w:val="0"/>
              <w:marRight w:val="0"/>
              <w:marTop w:val="0"/>
              <w:marBottom w:val="0"/>
              <w:divBdr>
                <w:top w:val="none" w:sz="0" w:space="0" w:color="auto"/>
                <w:left w:val="none" w:sz="0" w:space="0" w:color="auto"/>
                <w:bottom w:val="none" w:sz="0" w:space="0" w:color="auto"/>
                <w:right w:val="none" w:sz="0" w:space="0" w:color="auto"/>
              </w:divBdr>
            </w:div>
          </w:divsChild>
        </w:div>
        <w:div w:id="1027213530">
          <w:marLeft w:val="0"/>
          <w:marRight w:val="0"/>
          <w:marTop w:val="120"/>
          <w:marBottom w:val="0"/>
          <w:divBdr>
            <w:top w:val="none" w:sz="0" w:space="0" w:color="auto"/>
            <w:left w:val="none" w:sz="0" w:space="0" w:color="auto"/>
            <w:bottom w:val="none" w:sz="0" w:space="0" w:color="auto"/>
            <w:right w:val="none" w:sz="0" w:space="0" w:color="auto"/>
          </w:divBdr>
          <w:divsChild>
            <w:div w:id="115952376">
              <w:marLeft w:val="0"/>
              <w:marRight w:val="0"/>
              <w:marTop w:val="0"/>
              <w:marBottom w:val="0"/>
              <w:divBdr>
                <w:top w:val="none" w:sz="0" w:space="0" w:color="auto"/>
                <w:left w:val="none" w:sz="0" w:space="0" w:color="auto"/>
                <w:bottom w:val="none" w:sz="0" w:space="0" w:color="auto"/>
                <w:right w:val="none" w:sz="0" w:space="0" w:color="auto"/>
              </w:divBdr>
            </w:div>
          </w:divsChild>
        </w:div>
        <w:div w:id="1113326233">
          <w:marLeft w:val="0"/>
          <w:marRight w:val="0"/>
          <w:marTop w:val="120"/>
          <w:marBottom w:val="0"/>
          <w:divBdr>
            <w:top w:val="none" w:sz="0" w:space="0" w:color="auto"/>
            <w:left w:val="none" w:sz="0" w:space="0" w:color="auto"/>
            <w:bottom w:val="none" w:sz="0" w:space="0" w:color="auto"/>
            <w:right w:val="none" w:sz="0" w:space="0" w:color="auto"/>
          </w:divBdr>
          <w:divsChild>
            <w:div w:id="244144248">
              <w:marLeft w:val="0"/>
              <w:marRight w:val="0"/>
              <w:marTop w:val="0"/>
              <w:marBottom w:val="0"/>
              <w:divBdr>
                <w:top w:val="none" w:sz="0" w:space="0" w:color="auto"/>
                <w:left w:val="none" w:sz="0" w:space="0" w:color="auto"/>
                <w:bottom w:val="none" w:sz="0" w:space="0" w:color="auto"/>
                <w:right w:val="none" w:sz="0" w:space="0" w:color="auto"/>
              </w:divBdr>
            </w:div>
            <w:div w:id="445271882">
              <w:marLeft w:val="0"/>
              <w:marRight w:val="0"/>
              <w:marTop w:val="0"/>
              <w:marBottom w:val="0"/>
              <w:divBdr>
                <w:top w:val="none" w:sz="0" w:space="0" w:color="auto"/>
                <w:left w:val="none" w:sz="0" w:space="0" w:color="auto"/>
                <w:bottom w:val="none" w:sz="0" w:space="0" w:color="auto"/>
                <w:right w:val="none" w:sz="0" w:space="0" w:color="auto"/>
              </w:divBdr>
            </w:div>
            <w:div w:id="1727145104">
              <w:marLeft w:val="0"/>
              <w:marRight w:val="0"/>
              <w:marTop w:val="0"/>
              <w:marBottom w:val="0"/>
              <w:divBdr>
                <w:top w:val="none" w:sz="0" w:space="0" w:color="auto"/>
                <w:left w:val="none" w:sz="0" w:space="0" w:color="auto"/>
                <w:bottom w:val="none" w:sz="0" w:space="0" w:color="auto"/>
                <w:right w:val="none" w:sz="0" w:space="0" w:color="auto"/>
              </w:divBdr>
            </w:div>
          </w:divsChild>
        </w:div>
        <w:div w:id="425076329">
          <w:marLeft w:val="0"/>
          <w:marRight w:val="0"/>
          <w:marTop w:val="120"/>
          <w:marBottom w:val="0"/>
          <w:divBdr>
            <w:top w:val="none" w:sz="0" w:space="0" w:color="auto"/>
            <w:left w:val="none" w:sz="0" w:space="0" w:color="auto"/>
            <w:bottom w:val="none" w:sz="0" w:space="0" w:color="auto"/>
            <w:right w:val="none" w:sz="0" w:space="0" w:color="auto"/>
          </w:divBdr>
          <w:divsChild>
            <w:div w:id="518391215">
              <w:marLeft w:val="0"/>
              <w:marRight w:val="0"/>
              <w:marTop w:val="0"/>
              <w:marBottom w:val="0"/>
              <w:divBdr>
                <w:top w:val="none" w:sz="0" w:space="0" w:color="auto"/>
                <w:left w:val="none" w:sz="0" w:space="0" w:color="auto"/>
                <w:bottom w:val="none" w:sz="0" w:space="0" w:color="auto"/>
                <w:right w:val="none" w:sz="0" w:space="0" w:color="auto"/>
              </w:divBdr>
            </w:div>
          </w:divsChild>
        </w:div>
        <w:div w:id="1783918131">
          <w:marLeft w:val="0"/>
          <w:marRight w:val="0"/>
          <w:marTop w:val="120"/>
          <w:marBottom w:val="0"/>
          <w:divBdr>
            <w:top w:val="none" w:sz="0" w:space="0" w:color="auto"/>
            <w:left w:val="none" w:sz="0" w:space="0" w:color="auto"/>
            <w:bottom w:val="none" w:sz="0" w:space="0" w:color="auto"/>
            <w:right w:val="none" w:sz="0" w:space="0" w:color="auto"/>
          </w:divBdr>
          <w:divsChild>
            <w:div w:id="211577063">
              <w:marLeft w:val="0"/>
              <w:marRight w:val="0"/>
              <w:marTop w:val="0"/>
              <w:marBottom w:val="0"/>
              <w:divBdr>
                <w:top w:val="none" w:sz="0" w:space="0" w:color="auto"/>
                <w:left w:val="none" w:sz="0" w:space="0" w:color="auto"/>
                <w:bottom w:val="none" w:sz="0" w:space="0" w:color="auto"/>
                <w:right w:val="none" w:sz="0" w:space="0" w:color="auto"/>
              </w:divBdr>
            </w:div>
            <w:div w:id="421268581">
              <w:marLeft w:val="0"/>
              <w:marRight w:val="0"/>
              <w:marTop w:val="0"/>
              <w:marBottom w:val="0"/>
              <w:divBdr>
                <w:top w:val="none" w:sz="0" w:space="0" w:color="auto"/>
                <w:left w:val="none" w:sz="0" w:space="0" w:color="auto"/>
                <w:bottom w:val="none" w:sz="0" w:space="0" w:color="auto"/>
                <w:right w:val="none" w:sz="0" w:space="0" w:color="auto"/>
              </w:divBdr>
            </w:div>
            <w:div w:id="2057700271">
              <w:marLeft w:val="0"/>
              <w:marRight w:val="0"/>
              <w:marTop w:val="0"/>
              <w:marBottom w:val="0"/>
              <w:divBdr>
                <w:top w:val="none" w:sz="0" w:space="0" w:color="auto"/>
                <w:left w:val="none" w:sz="0" w:space="0" w:color="auto"/>
                <w:bottom w:val="none" w:sz="0" w:space="0" w:color="auto"/>
                <w:right w:val="none" w:sz="0" w:space="0" w:color="auto"/>
              </w:divBdr>
            </w:div>
          </w:divsChild>
        </w:div>
        <w:div w:id="898323701">
          <w:marLeft w:val="0"/>
          <w:marRight w:val="0"/>
          <w:marTop w:val="120"/>
          <w:marBottom w:val="0"/>
          <w:divBdr>
            <w:top w:val="none" w:sz="0" w:space="0" w:color="auto"/>
            <w:left w:val="none" w:sz="0" w:space="0" w:color="auto"/>
            <w:bottom w:val="none" w:sz="0" w:space="0" w:color="auto"/>
            <w:right w:val="none" w:sz="0" w:space="0" w:color="auto"/>
          </w:divBdr>
          <w:divsChild>
            <w:div w:id="1224096346">
              <w:marLeft w:val="0"/>
              <w:marRight w:val="0"/>
              <w:marTop w:val="0"/>
              <w:marBottom w:val="0"/>
              <w:divBdr>
                <w:top w:val="none" w:sz="0" w:space="0" w:color="auto"/>
                <w:left w:val="none" w:sz="0" w:space="0" w:color="auto"/>
                <w:bottom w:val="none" w:sz="0" w:space="0" w:color="auto"/>
                <w:right w:val="none" w:sz="0" w:space="0" w:color="auto"/>
              </w:divBdr>
            </w:div>
          </w:divsChild>
        </w:div>
        <w:div w:id="900015760">
          <w:marLeft w:val="0"/>
          <w:marRight w:val="0"/>
          <w:marTop w:val="120"/>
          <w:marBottom w:val="0"/>
          <w:divBdr>
            <w:top w:val="none" w:sz="0" w:space="0" w:color="auto"/>
            <w:left w:val="none" w:sz="0" w:space="0" w:color="auto"/>
            <w:bottom w:val="none" w:sz="0" w:space="0" w:color="auto"/>
            <w:right w:val="none" w:sz="0" w:space="0" w:color="auto"/>
          </w:divBdr>
          <w:divsChild>
            <w:div w:id="1343243725">
              <w:marLeft w:val="0"/>
              <w:marRight w:val="0"/>
              <w:marTop w:val="0"/>
              <w:marBottom w:val="0"/>
              <w:divBdr>
                <w:top w:val="none" w:sz="0" w:space="0" w:color="auto"/>
                <w:left w:val="none" w:sz="0" w:space="0" w:color="auto"/>
                <w:bottom w:val="none" w:sz="0" w:space="0" w:color="auto"/>
                <w:right w:val="none" w:sz="0" w:space="0" w:color="auto"/>
              </w:divBdr>
            </w:div>
            <w:div w:id="1707677168">
              <w:marLeft w:val="0"/>
              <w:marRight w:val="0"/>
              <w:marTop w:val="0"/>
              <w:marBottom w:val="0"/>
              <w:divBdr>
                <w:top w:val="none" w:sz="0" w:space="0" w:color="auto"/>
                <w:left w:val="none" w:sz="0" w:space="0" w:color="auto"/>
                <w:bottom w:val="none" w:sz="0" w:space="0" w:color="auto"/>
                <w:right w:val="none" w:sz="0" w:space="0" w:color="auto"/>
              </w:divBdr>
            </w:div>
          </w:divsChild>
        </w:div>
        <w:div w:id="1662927204">
          <w:marLeft w:val="0"/>
          <w:marRight w:val="0"/>
          <w:marTop w:val="120"/>
          <w:marBottom w:val="0"/>
          <w:divBdr>
            <w:top w:val="none" w:sz="0" w:space="0" w:color="auto"/>
            <w:left w:val="none" w:sz="0" w:space="0" w:color="auto"/>
            <w:bottom w:val="none" w:sz="0" w:space="0" w:color="auto"/>
            <w:right w:val="none" w:sz="0" w:space="0" w:color="auto"/>
          </w:divBdr>
          <w:divsChild>
            <w:div w:id="135488503">
              <w:marLeft w:val="0"/>
              <w:marRight w:val="0"/>
              <w:marTop w:val="0"/>
              <w:marBottom w:val="0"/>
              <w:divBdr>
                <w:top w:val="none" w:sz="0" w:space="0" w:color="auto"/>
                <w:left w:val="none" w:sz="0" w:space="0" w:color="auto"/>
                <w:bottom w:val="none" w:sz="0" w:space="0" w:color="auto"/>
                <w:right w:val="none" w:sz="0" w:space="0" w:color="auto"/>
              </w:divBdr>
            </w:div>
            <w:div w:id="332143434">
              <w:marLeft w:val="0"/>
              <w:marRight w:val="0"/>
              <w:marTop w:val="0"/>
              <w:marBottom w:val="0"/>
              <w:divBdr>
                <w:top w:val="none" w:sz="0" w:space="0" w:color="auto"/>
                <w:left w:val="none" w:sz="0" w:space="0" w:color="auto"/>
                <w:bottom w:val="none" w:sz="0" w:space="0" w:color="auto"/>
                <w:right w:val="none" w:sz="0" w:space="0" w:color="auto"/>
              </w:divBdr>
            </w:div>
          </w:divsChild>
        </w:div>
        <w:div w:id="124399285">
          <w:marLeft w:val="0"/>
          <w:marRight w:val="0"/>
          <w:marTop w:val="120"/>
          <w:marBottom w:val="0"/>
          <w:divBdr>
            <w:top w:val="none" w:sz="0" w:space="0" w:color="auto"/>
            <w:left w:val="none" w:sz="0" w:space="0" w:color="auto"/>
            <w:bottom w:val="none" w:sz="0" w:space="0" w:color="auto"/>
            <w:right w:val="none" w:sz="0" w:space="0" w:color="auto"/>
          </w:divBdr>
          <w:divsChild>
            <w:div w:id="769815108">
              <w:marLeft w:val="0"/>
              <w:marRight w:val="0"/>
              <w:marTop w:val="0"/>
              <w:marBottom w:val="0"/>
              <w:divBdr>
                <w:top w:val="none" w:sz="0" w:space="0" w:color="auto"/>
                <w:left w:val="none" w:sz="0" w:space="0" w:color="auto"/>
                <w:bottom w:val="none" w:sz="0" w:space="0" w:color="auto"/>
                <w:right w:val="none" w:sz="0" w:space="0" w:color="auto"/>
              </w:divBdr>
            </w:div>
            <w:div w:id="981153849">
              <w:marLeft w:val="0"/>
              <w:marRight w:val="0"/>
              <w:marTop w:val="0"/>
              <w:marBottom w:val="0"/>
              <w:divBdr>
                <w:top w:val="none" w:sz="0" w:space="0" w:color="auto"/>
                <w:left w:val="none" w:sz="0" w:space="0" w:color="auto"/>
                <w:bottom w:val="none" w:sz="0" w:space="0" w:color="auto"/>
                <w:right w:val="none" w:sz="0" w:space="0" w:color="auto"/>
              </w:divBdr>
            </w:div>
          </w:divsChild>
        </w:div>
        <w:div w:id="1459759023">
          <w:marLeft w:val="0"/>
          <w:marRight w:val="0"/>
          <w:marTop w:val="120"/>
          <w:marBottom w:val="0"/>
          <w:divBdr>
            <w:top w:val="none" w:sz="0" w:space="0" w:color="auto"/>
            <w:left w:val="none" w:sz="0" w:space="0" w:color="auto"/>
            <w:bottom w:val="none" w:sz="0" w:space="0" w:color="auto"/>
            <w:right w:val="none" w:sz="0" w:space="0" w:color="auto"/>
          </w:divBdr>
          <w:divsChild>
            <w:div w:id="2124878997">
              <w:marLeft w:val="0"/>
              <w:marRight w:val="0"/>
              <w:marTop w:val="0"/>
              <w:marBottom w:val="0"/>
              <w:divBdr>
                <w:top w:val="none" w:sz="0" w:space="0" w:color="auto"/>
                <w:left w:val="none" w:sz="0" w:space="0" w:color="auto"/>
                <w:bottom w:val="none" w:sz="0" w:space="0" w:color="auto"/>
                <w:right w:val="none" w:sz="0" w:space="0" w:color="auto"/>
              </w:divBdr>
            </w:div>
            <w:div w:id="740253147">
              <w:marLeft w:val="0"/>
              <w:marRight w:val="0"/>
              <w:marTop w:val="0"/>
              <w:marBottom w:val="0"/>
              <w:divBdr>
                <w:top w:val="none" w:sz="0" w:space="0" w:color="auto"/>
                <w:left w:val="none" w:sz="0" w:space="0" w:color="auto"/>
                <w:bottom w:val="none" w:sz="0" w:space="0" w:color="auto"/>
                <w:right w:val="none" w:sz="0" w:space="0" w:color="auto"/>
              </w:divBdr>
            </w:div>
            <w:div w:id="1206523254">
              <w:marLeft w:val="0"/>
              <w:marRight w:val="0"/>
              <w:marTop w:val="0"/>
              <w:marBottom w:val="0"/>
              <w:divBdr>
                <w:top w:val="none" w:sz="0" w:space="0" w:color="auto"/>
                <w:left w:val="none" w:sz="0" w:space="0" w:color="auto"/>
                <w:bottom w:val="none" w:sz="0" w:space="0" w:color="auto"/>
                <w:right w:val="none" w:sz="0" w:space="0" w:color="auto"/>
              </w:divBdr>
            </w:div>
          </w:divsChild>
        </w:div>
        <w:div w:id="52000481">
          <w:marLeft w:val="0"/>
          <w:marRight w:val="0"/>
          <w:marTop w:val="120"/>
          <w:marBottom w:val="0"/>
          <w:divBdr>
            <w:top w:val="none" w:sz="0" w:space="0" w:color="auto"/>
            <w:left w:val="none" w:sz="0" w:space="0" w:color="auto"/>
            <w:bottom w:val="none" w:sz="0" w:space="0" w:color="auto"/>
            <w:right w:val="none" w:sz="0" w:space="0" w:color="auto"/>
          </w:divBdr>
          <w:divsChild>
            <w:div w:id="1723210617">
              <w:marLeft w:val="0"/>
              <w:marRight w:val="0"/>
              <w:marTop w:val="0"/>
              <w:marBottom w:val="0"/>
              <w:divBdr>
                <w:top w:val="none" w:sz="0" w:space="0" w:color="auto"/>
                <w:left w:val="none" w:sz="0" w:space="0" w:color="auto"/>
                <w:bottom w:val="none" w:sz="0" w:space="0" w:color="auto"/>
                <w:right w:val="none" w:sz="0" w:space="0" w:color="auto"/>
              </w:divBdr>
            </w:div>
          </w:divsChild>
        </w:div>
        <w:div w:id="1374840911">
          <w:marLeft w:val="0"/>
          <w:marRight w:val="0"/>
          <w:marTop w:val="120"/>
          <w:marBottom w:val="0"/>
          <w:divBdr>
            <w:top w:val="none" w:sz="0" w:space="0" w:color="auto"/>
            <w:left w:val="none" w:sz="0" w:space="0" w:color="auto"/>
            <w:bottom w:val="none" w:sz="0" w:space="0" w:color="auto"/>
            <w:right w:val="none" w:sz="0" w:space="0" w:color="auto"/>
          </w:divBdr>
          <w:divsChild>
            <w:div w:id="1365253644">
              <w:marLeft w:val="0"/>
              <w:marRight w:val="0"/>
              <w:marTop w:val="0"/>
              <w:marBottom w:val="0"/>
              <w:divBdr>
                <w:top w:val="none" w:sz="0" w:space="0" w:color="auto"/>
                <w:left w:val="none" w:sz="0" w:space="0" w:color="auto"/>
                <w:bottom w:val="none" w:sz="0" w:space="0" w:color="auto"/>
                <w:right w:val="none" w:sz="0" w:space="0" w:color="auto"/>
              </w:divBdr>
            </w:div>
            <w:div w:id="912471863">
              <w:marLeft w:val="0"/>
              <w:marRight w:val="0"/>
              <w:marTop w:val="0"/>
              <w:marBottom w:val="0"/>
              <w:divBdr>
                <w:top w:val="none" w:sz="0" w:space="0" w:color="auto"/>
                <w:left w:val="none" w:sz="0" w:space="0" w:color="auto"/>
                <w:bottom w:val="none" w:sz="0" w:space="0" w:color="auto"/>
                <w:right w:val="none" w:sz="0" w:space="0" w:color="auto"/>
              </w:divBdr>
            </w:div>
          </w:divsChild>
        </w:div>
        <w:div w:id="732658125">
          <w:marLeft w:val="0"/>
          <w:marRight w:val="0"/>
          <w:marTop w:val="120"/>
          <w:marBottom w:val="0"/>
          <w:divBdr>
            <w:top w:val="none" w:sz="0" w:space="0" w:color="auto"/>
            <w:left w:val="none" w:sz="0" w:space="0" w:color="auto"/>
            <w:bottom w:val="none" w:sz="0" w:space="0" w:color="auto"/>
            <w:right w:val="none" w:sz="0" w:space="0" w:color="auto"/>
          </w:divBdr>
          <w:divsChild>
            <w:div w:id="900751701">
              <w:marLeft w:val="0"/>
              <w:marRight w:val="0"/>
              <w:marTop w:val="0"/>
              <w:marBottom w:val="0"/>
              <w:divBdr>
                <w:top w:val="none" w:sz="0" w:space="0" w:color="auto"/>
                <w:left w:val="none" w:sz="0" w:space="0" w:color="auto"/>
                <w:bottom w:val="none" w:sz="0" w:space="0" w:color="auto"/>
                <w:right w:val="none" w:sz="0" w:space="0" w:color="auto"/>
              </w:divBdr>
            </w:div>
          </w:divsChild>
        </w:div>
        <w:div w:id="486016374">
          <w:marLeft w:val="0"/>
          <w:marRight w:val="0"/>
          <w:marTop w:val="120"/>
          <w:marBottom w:val="0"/>
          <w:divBdr>
            <w:top w:val="none" w:sz="0" w:space="0" w:color="auto"/>
            <w:left w:val="none" w:sz="0" w:space="0" w:color="auto"/>
            <w:bottom w:val="none" w:sz="0" w:space="0" w:color="auto"/>
            <w:right w:val="none" w:sz="0" w:space="0" w:color="auto"/>
          </w:divBdr>
          <w:divsChild>
            <w:div w:id="1568177615">
              <w:marLeft w:val="0"/>
              <w:marRight w:val="0"/>
              <w:marTop w:val="0"/>
              <w:marBottom w:val="0"/>
              <w:divBdr>
                <w:top w:val="none" w:sz="0" w:space="0" w:color="auto"/>
                <w:left w:val="none" w:sz="0" w:space="0" w:color="auto"/>
                <w:bottom w:val="none" w:sz="0" w:space="0" w:color="auto"/>
                <w:right w:val="none" w:sz="0" w:space="0" w:color="auto"/>
              </w:divBdr>
            </w:div>
            <w:div w:id="537739029">
              <w:marLeft w:val="0"/>
              <w:marRight w:val="0"/>
              <w:marTop w:val="0"/>
              <w:marBottom w:val="0"/>
              <w:divBdr>
                <w:top w:val="none" w:sz="0" w:space="0" w:color="auto"/>
                <w:left w:val="none" w:sz="0" w:space="0" w:color="auto"/>
                <w:bottom w:val="none" w:sz="0" w:space="0" w:color="auto"/>
                <w:right w:val="none" w:sz="0" w:space="0" w:color="auto"/>
              </w:divBdr>
            </w:div>
          </w:divsChild>
        </w:div>
        <w:div w:id="1154107839">
          <w:marLeft w:val="0"/>
          <w:marRight w:val="0"/>
          <w:marTop w:val="120"/>
          <w:marBottom w:val="0"/>
          <w:divBdr>
            <w:top w:val="none" w:sz="0" w:space="0" w:color="auto"/>
            <w:left w:val="none" w:sz="0" w:space="0" w:color="auto"/>
            <w:bottom w:val="none" w:sz="0" w:space="0" w:color="auto"/>
            <w:right w:val="none" w:sz="0" w:space="0" w:color="auto"/>
          </w:divBdr>
          <w:divsChild>
            <w:div w:id="2009405130">
              <w:marLeft w:val="0"/>
              <w:marRight w:val="0"/>
              <w:marTop w:val="0"/>
              <w:marBottom w:val="0"/>
              <w:divBdr>
                <w:top w:val="none" w:sz="0" w:space="0" w:color="auto"/>
                <w:left w:val="none" w:sz="0" w:space="0" w:color="auto"/>
                <w:bottom w:val="none" w:sz="0" w:space="0" w:color="auto"/>
                <w:right w:val="none" w:sz="0" w:space="0" w:color="auto"/>
              </w:divBdr>
            </w:div>
          </w:divsChild>
        </w:div>
        <w:div w:id="1856309369">
          <w:marLeft w:val="0"/>
          <w:marRight w:val="0"/>
          <w:marTop w:val="120"/>
          <w:marBottom w:val="0"/>
          <w:divBdr>
            <w:top w:val="none" w:sz="0" w:space="0" w:color="auto"/>
            <w:left w:val="none" w:sz="0" w:space="0" w:color="auto"/>
            <w:bottom w:val="none" w:sz="0" w:space="0" w:color="auto"/>
            <w:right w:val="none" w:sz="0" w:space="0" w:color="auto"/>
          </w:divBdr>
          <w:divsChild>
            <w:div w:id="982924669">
              <w:marLeft w:val="0"/>
              <w:marRight w:val="0"/>
              <w:marTop w:val="0"/>
              <w:marBottom w:val="0"/>
              <w:divBdr>
                <w:top w:val="none" w:sz="0" w:space="0" w:color="auto"/>
                <w:left w:val="none" w:sz="0" w:space="0" w:color="auto"/>
                <w:bottom w:val="none" w:sz="0" w:space="0" w:color="auto"/>
                <w:right w:val="none" w:sz="0" w:space="0" w:color="auto"/>
              </w:divBdr>
            </w:div>
          </w:divsChild>
        </w:div>
        <w:div w:id="1858736606">
          <w:marLeft w:val="0"/>
          <w:marRight w:val="0"/>
          <w:marTop w:val="120"/>
          <w:marBottom w:val="0"/>
          <w:divBdr>
            <w:top w:val="none" w:sz="0" w:space="0" w:color="auto"/>
            <w:left w:val="none" w:sz="0" w:space="0" w:color="auto"/>
            <w:bottom w:val="none" w:sz="0" w:space="0" w:color="auto"/>
            <w:right w:val="none" w:sz="0" w:space="0" w:color="auto"/>
          </w:divBdr>
          <w:divsChild>
            <w:div w:id="142544459">
              <w:marLeft w:val="0"/>
              <w:marRight w:val="0"/>
              <w:marTop w:val="0"/>
              <w:marBottom w:val="0"/>
              <w:divBdr>
                <w:top w:val="none" w:sz="0" w:space="0" w:color="auto"/>
                <w:left w:val="none" w:sz="0" w:space="0" w:color="auto"/>
                <w:bottom w:val="none" w:sz="0" w:space="0" w:color="auto"/>
                <w:right w:val="none" w:sz="0" w:space="0" w:color="auto"/>
              </w:divBdr>
            </w:div>
          </w:divsChild>
        </w:div>
        <w:div w:id="1561478306">
          <w:marLeft w:val="0"/>
          <w:marRight w:val="0"/>
          <w:marTop w:val="120"/>
          <w:marBottom w:val="0"/>
          <w:divBdr>
            <w:top w:val="none" w:sz="0" w:space="0" w:color="auto"/>
            <w:left w:val="none" w:sz="0" w:space="0" w:color="auto"/>
            <w:bottom w:val="none" w:sz="0" w:space="0" w:color="auto"/>
            <w:right w:val="none" w:sz="0" w:space="0" w:color="auto"/>
          </w:divBdr>
          <w:divsChild>
            <w:div w:id="28654789">
              <w:marLeft w:val="0"/>
              <w:marRight w:val="0"/>
              <w:marTop w:val="0"/>
              <w:marBottom w:val="0"/>
              <w:divBdr>
                <w:top w:val="none" w:sz="0" w:space="0" w:color="auto"/>
                <w:left w:val="none" w:sz="0" w:space="0" w:color="auto"/>
                <w:bottom w:val="none" w:sz="0" w:space="0" w:color="auto"/>
                <w:right w:val="none" w:sz="0" w:space="0" w:color="auto"/>
              </w:divBdr>
            </w:div>
            <w:div w:id="1758285311">
              <w:marLeft w:val="0"/>
              <w:marRight w:val="0"/>
              <w:marTop w:val="0"/>
              <w:marBottom w:val="0"/>
              <w:divBdr>
                <w:top w:val="none" w:sz="0" w:space="0" w:color="auto"/>
                <w:left w:val="none" w:sz="0" w:space="0" w:color="auto"/>
                <w:bottom w:val="none" w:sz="0" w:space="0" w:color="auto"/>
                <w:right w:val="none" w:sz="0" w:space="0" w:color="auto"/>
              </w:divBdr>
            </w:div>
          </w:divsChild>
        </w:div>
        <w:div w:id="1967932218">
          <w:marLeft w:val="0"/>
          <w:marRight w:val="0"/>
          <w:marTop w:val="120"/>
          <w:marBottom w:val="0"/>
          <w:divBdr>
            <w:top w:val="none" w:sz="0" w:space="0" w:color="auto"/>
            <w:left w:val="none" w:sz="0" w:space="0" w:color="auto"/>
            <w:bottom w:val="none" w:sz="0" w:space="0" w:color="auto"/>
            <w:right w:val="none" w:sz="0" w:space="0" w:color="auto"/>
          </w:divBdr>
          <w:divsChild>
            <w:div w:id="130906370">
              <w:marLeft w:val="0"/>
              <w:marRight w:val="0"/>
              <w:marTop w:val="0"/>
              <w:marBottom w:val="0"/>
              <w:divBdr>
                <w:top w:val="none" w:sz="0" w:space="0" w:color="auto"/>
                <w:left w:val="none" w:sz="0" w:space="0" w:color="auto"/>
                <w:bottom w:val="none" w:sz="0" w:space="0" w:color="auto"/>
                <w:right w:val="none" w:sz="0" w:space="0" w:color="auto"/>
              </w:divBdr>
            </w:div>
          </w:divsChild>
        </w:div>
        <w:div w:id="1975216504">
          <w:marLeft w:val="0"/>
          <w:marRight w:val="0"/>
          <w:marTop w:val="120"/>
          <w:marBottom w:val="0"/>
          <w:divBdr>
            <w:top w:val="none" w:sz="0" w:space="0" w:color="auto"/>
            <w:left w:val="none" w:sz="0" w:space="0" w:color="auto"/>
            <w:bottom w:val="none" w:sz="0" w:space="0" w:color="auto"/>
            <w:right w:val="none" w:sz="0" w:space="0" w:color="auto"/>
          </w:divBdr>
          <w:divsChild>
            <w:div w:id="348530307">
              <w:marLeft w:val="0"/>
              <w:marRight w:val="0"/>
              <w:marTop w:val="0"/>
              <w:marBottom w:val="0"/>
              <w:divBdr>
                <w:top w:val="none" w:sz="0" w:space="0" w:color="auto"/>
                <w:left w:val="none" w:sz="0" w:space="0" w:color="auto"/>
                <w:bottom w:val="none" w:sz="0" w:space="0" w:color="auto"/>
                <w:right w:val="none" w:sz="0" w:space="0" w:color="auto"/>
              </w:divBdr>
            </w:div>
          </w:divsChild>
        </w:div>
        <w:div w:id="1621763375">
          <w:marLeft w:val="0"/>
          <w:marRight w:val="0"/>
          <w:marTop w:val="120"/>
          <w:marBottom w:val="0"/>
          <w:divBdr>
            <w:top w:val="none" w:sz="0" w:space="0" w:color="auto"/>
            <w:left w:val="none" w:sz="0" w:space="0" w:color="auto"/>
            <w:bottom w:val="none" w:sz="0" w:space="0" w:color="auto"/>
            <w:right w:val="none" w:sz="0" w:space="0" w:color="auto"/>
          </w:divBdr>
          <w:divsChild>
            <w:div w:id="936060446">
              <w:marLeft w:val="0"/>
              <w:marRight w:val="0"/>
              <w:marTop w:val="0"/>
              <w:marBottom w:val="0"/>
              <w:divBdr>
                <w:top w:val="none" w:sz="0" w:space="0" w:color="auto"/>
                <w:left w:val="none" w:sz="0" w:space="0" w:color="auto"/>
                <w:bottom w:val="none" w:sz="0" w:space="0" w:color="auto"/>
                <w:right w:val="none" w:sz="0" w:space="0" w:color="auto"/>
              </w:divBdr>
            </w:div>
          </w:divsChild>
        </w:div>
        <w:div w:id="431437790">
          <w:marLeft w:val="0"/>
          <w:marRight w:val="0"/>
          <w:marTop w:val="120"/>
          <w:marBottom w:val="0"/>
          <w:divBdr>
            <w:top w:val="none" w:sz="0" w:space="0" w:color="auto"/>
            <w:left w:val="none" w:sz="0" w:space="0" w:color="auto"/>
            <w:bottom w:val="none" w:sz="0" w:space="0" w:color="auto"/>
            <w:right w:val="none" w:sz="0" w:space="0" w:color="auto"/>
          </w:divBdr>
          <w:divsChild>
            <w:div w:id="495849714">
              <w:marLeft w:val="0"/>
              <w:marRight w:val="0"/>
              <w:marTop w:val="0"/>
              <w:marBottom w:val="0"/>
              <w:divBdr>
                <w:top w:val="none" w:sz="0" w:space="0" w:color="auto"/>
                <w:left w:val="none" w:sz="0" w:space="0" w:color="auto"/>
                <w:bottom w:val="none" w:sz="0" w:space="0" w:color="auto"/>
                <w:right w:val="none" w:sz="0" w:space="0" w:color="auto"/>
              </w:divBdr>
            </w:div>
          </w:divsChild>
        </w:div>
        <w:div w:id="1320958478">
          <w:marLeft w:val="0"/>
          <w:marRight w:val="0"/>
          <w:marTop w:val="120"/>
          <w:marBottom w:val="0"/>
          <w:divBdr>
            <w:top w:val="none" w:sz="0" w:space="0" w:color="auto"/>
            <w:left w:val="none" w:sz="0" w:space="0" w:color="auto"/>
            <w:bottom w:val="none" w:sz="0" w:space="0" w:color="auto"/>
            <w:right w:val="none" w:sz="0" w:space="0" w:color="auto"/>
          </w:divBdr>
          <w:divsChild>
            <w:div w:id="1552226185">
              <w:marLeft w:val="0"/>
              <w:marRight w:val="0"/>
              <w:marTop w:val="0"/>
              <w:marBottom w:val="0"/>
              <w:divBdr>
                <w:top w:val="none" w:sz="0" w:space="0" w:color="auto"/>
                <w:left w:val="none" w:sz="0" w:space="0" w:color="auto"/>
                <w:bottom w:val="none" w:sz="0" w:space="0" w:color="auto"/>
                <w:right w:val="none" w:sz="0" w:space="0" w:color="auto"/>
              </w:divBdr>
            </w:div>
            <w:div w:id="1957562045">
              <w:marLeft w:val="0"/>
              <w:marRight w:val="0"/>
              <w:marTop w:val="0"/>
              <w:marBottom w:val="0"/>
              <w:divBdr>
                <w:top w:val="none" w:sz="0" w:space="0" w:color="auto"/>
                <w:left w:val="none" w:sz="0" w:space="0" w:color="auto"/>
                <w:bottom w:val="none" w:sz="0" w:space="0" w:color="auto"/>
                <w:right w:val="none" w:sz="0" w:space="0" w:color="auto"/>
              </w:divBdr>
            </w:div>
            <w:div w:id="356153097">
              <w:marLeft w:val="0"/>
              <w:marRight w:val="0"/>
              <w:marTop w:val="0"/>
              <w:marBottom w:val="0"/>
              <w:divBdr>
                <w:top w:val="none" w:sz="0" w:space="0" w:color="auto"/>
                <w:left w:val="none" w:sz="0" w:space="0" w:color="auto"/>
                <w:bottom w:val="none" w:sz="0" w:space="0" w:color="auto"/>
                <w:right w:val="none" w:sz="0" w:space="0" w:color="auto"/>
              </w:divBdr>
            </w:div>
          </w:divsChild>
        </w:div>
        <w:div w:id="852886978">
          <w:marLeft w:val="0"/>
          <w:marRight w:val="0"/>
          <w:marTop w:val="120"/>
          <w:marBottom w:val="0"/>
          <w:divBdr>
            <w:top w:val="none" w:sz="0" w:space="0" w:color="auto"/>
            <w:left w:val="none" w:sz="0" w:space="0" w:color="auto"/>
            <w:bottom w:val="none" w:sz="0" w:space="0" w:color="auto"/>
            <w:right w:val="none" w:sz="0" w:space="0" w:color="auto"/>
          </w:divBdr>
          <w:divsChild>
            <w:div w:id="1252156261">
              <w:marLeft w:val="0"/>
              <w:marRight w:val="0"/>
              <w:marTop w:val="0"/>
              <w:marBottom w:val="0"/>
              <w:divBdr>
                <w:top w:val="none" w:sz="0" w:space="0" w:color="auto"/>
                <w:left w:val="none" w:sz="0" w:space="0" w:color="auto"/>
                <w:bottom w:val="none" w:sz="0" w:space="0" w:color="auto"/>
                <w:right w:val="none" w:sz="0" w:space="0" w:color="auto"/>
              </w:divBdr>
            </w:div>
          </w:divsChild>
        </w:div>
        <w:div w:id="133180695">
          <w:marLeft w:val="0"/>
          <w:marRight w:val="0"/>
          <w:marTop w:val="120"/>
          <w:marBottom w:val="0"/>
          <w:divBdr>
            <w:top w:val="none" w:sz="0" w:space="0" w:color="auto"/>
            <w:left w:val="none" w:sz="0" w:space="0" w:color="auto"/>
            <w:bottom w:val="none" w:sz="0" w:space="0" w:color="auto"/>
            <w:right w:val="none" w:sz="0" w:space="0" w:color="auto"/>
          </w:divBdr>
          <w:divsChild>
            <w:div w:id="2065176458">
              <w:marLeft w:val="0"/>
              <w:marRight w:val="0"/>
              <w:marTop w:val="0"/>
              <w:marBottom w:val="0"/>
              <w:divBdr>
                <w:top w:val="none" w:sz="0" w:space="0" w:color="auto"/>
                <w:left w:val="none" w:sz="0" w:space="0" w:color="auto"/>
                <w:bottom w:val="none" w:sz="0" w:space="0" w:color="auto"/>
                <w:right w:val="none" w:sz="0" w:space="0" w:color="auto"/>
              </w:divBdr>
            </w:div>
          </w:divsChild>
        </w:div>
        <w:div w:id="2015104388">
          <w:marLeft w:val="0"/>
          <w:marRight w:val="0"/>
          <w:marTop w:val="120"/>
          <w:marBottom w:val="0"/>
          <w:divBdr>
            <w:top w:val="none" w:sz="0" w:space="0" w:color="auto"/>
            <w:left w:val="none" w:sz="0" w:space="0" w:color="auto"/>
            <w:bottom w:val="none" w:sz="0" w:space="0" w:color="auto"/>
            <w:right w:val="none" w:sz="0" w:space="0" w:color="auto"/>
          </w:divBdr>
          <w:divsChild>
            <w:div w:id="1764260117">
              <w:marLeft w:val="0"/>
              <w:marRight w:val="0"/>
              <w:marTop w:val="0"/>
              <w:marBottom w:val="0"/>
              <w:divBdr>
                <w:top w:val="none" w:sz="0" w:space="0" w:color="auto"/>
                <w:left w:val="none" w:sz="0" w:space="0" w:color="auto"/>
                <w:bottom w:val="none" w:sz="0" w:space="0" w:color="auto"/>
                <w:right w:val="none" w:sz="0" w:space="0" w:color="auto"/>
              </w:divBdr>
            </w:div>
            <w:div w:id="984354967">
              <w:marLeft w:val="0"/>
              <w:marRight w:val="0"/>
              <w:marTop w:val="0"/>
              <w:marBottom w:val="0"/>
              <w:divBdr>
                <w:top w:val="none" w:sz="0" w:space="0" w:color="auto"/>
                <w:left w:val="none" w:sz="0" w:space="0" w:color="auto"/>
                <w:bottom w:val="none" w:sz="0" w:space="0" w:color="auto"/>
                <w:right w:val="none" w:sz="0" w:space="0" w:color="auto"/>
              </w:divBdr>
            </w:div>
          </w:divsChild>
        </w:div>
        <w:div w:id="1575312327">
          <w:marLeft w:val="0"/>
          <w:marRight w:val="0"/>
          <w:marTop w:val="120"/>
          <w:marBottom w:val="0"/>
          <w:divBdr>
            <w:top w:val="none" w:sz="0" w:space="0" w:color="auto"/>
            <w:left w:val="none" w:sz="0" w:space="0" w:color="auto"/>
            <w:bottom w:val="none" w:sz="0" w:space="0" w:color="auto"/>
            <w:right w:val="none" w:sz="0" w:space="0" w:color="auto"/>
          </w:divBdr>
          <w:divsChild>
            <w:div w:id="2147043168">
              <w:marLeft w:val="0"/>
              <w:marRight w:val="0"/>
              <w:marTop w:val="0"/>
              <w:marBottom w:val="0"/>
              <w:divBdr>
                <w:top w:val="none" w:sz="0" w:space="0" w:color="auto"/>
                <w:left w:val="none" w:sz="0" w:space="0" w:color="auto"/>
                <w:bottom w:val="none" w:sz="0" w:space="0" w:color="auto"/>
                <w:right w:val="none" w:sz="0" w:space="0" w:color="auto"/>
              </w:divBdr>
            </w:div>
          </w:divsChild>
        </w:div>
        <w:div w:id="1835101568">
          <w:marLeft w:val="0"/>
          <w:marRight w:val="0"/>
          <w:marTop w:val="120"/>
          <w:marBottom w:val="0"/>
          <w:divBdr>
            <w:top w:val="none" w:sz="0" w:space="0" w:color="auto"/>
            <w:left w:val="none" w:sz="0" w:space="0" w:color="auto"/>
            <w:bottom w:val="none" w:sz="0" w:space="0" w:color="auto"/>
            <w:right w:val="none" w:sz="0" w:space="0" w:color="auto"/>
          </w:divBdr>
          <w:divsChild>
            <w:div w:id="907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egislatie.just.ro/Public/DetaliiDocument/6070" TargetMode="External"/><Relationship Id="rId7" Type="http://schemas.openxmlformats.org/officeDocument/2006/relationships/hyperlink" Target="https://cdep.ro/comisii/juridica/pdf/2024/av053.pdf" TargetMode="External"/><Relationship Id="rId2" Type="http://schemas.openxmlformats.org/officeDocument/2006/relationships/hyperlink" Target="https://legislatie.just.ro/Public/DetaliiDocument/277398" TargetMode="External"/><Relationship Id="rId1" Type="http://schemas.openxmlformats.org/officeDocument/2006/relationships/hyperlink" Target="https://legislatie.just.ro/Public/DetaliiDocument/277148" TargetMode="External"/><Relationship Id="rId6" Type="http://schemas.openxmlformats.org/officeDocument/2006/relationships/hyperlink" Target="https://cdep.ro/proiecte/2024/000/50/3/em59.pdf" TargetMode="External"/><Relationship Id="rId5" Type="http://schemas.openxmlformats.org/officeDocument/2006/relationships/hyperlink" Target="https://legislatie.just.ro/Public/DetaliiDocument/167088" TargetMode="External"/><Relationship Id="rId4" Type="http://schemas.openxmlformats.org/officeDocument/2006/relationships/hyperlink" Target="https://legislatie.just.ro/Public/DetaliiDocument/7935"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9D542-98D5-4CBD-A71D-27D4F96C6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2515</Words>
  <Characters>14340</Characters>
  <Application>Microsoft Office Word</Application>
  <DocSecurity>0</DocSecurity>
  <Lines>119</Lines>
  <Paragraphs>33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Elena Radu</cp:lastModifiedBy>
  <cp:revision>5</cp:revision>
  <dcterms:created xsi:type="dcterms:W3CDTF">2024-05-09T20:44:00Z</dcterms:created>
  <dcterms:modified xsi:type="dcterms:W3CDTF">2024-05-09T22:32:00Z</dcterms:modified>
</cp:coreProperties>
</file>